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jc w:val="center"/>
        <w:tblInd w:w="-60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277"/>
        <w:gridCol w:w="1701"/>
        <w:gridCol w:w="1559"/>
        <w:gridCol w:w="1134"/>
        <w:gridCol w:w="1134"/>
        <w:gridCol w:w="992"/>
        <w:gridCol w:w="11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356" w:type="dxa"/>
            <w:gridSpan w:val="8"/>
            <w:tcBorders>
              <w:top w:val="single" w:color="000000" w:sz="12" w:space="0"/>
            </w:tcBorders>
            <w:shd w:val="clear" w:color="auto" w:fill="D8D8D8"/>
            <w:vAlign w:val="center"/>
          </w:tcPr>
          <w:p>
            <w:pPr>
              <w:spacing w:before="218" w:beforeLines="70" w:line="360" w:lineRule="auto"/>
              <w:ind w:firstLine="937" w:firstLineChars="446"/>
              <w:rPr>
                <w:rFonts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-832485</wp:posOffset>
                  </wp:positionH>
                  <wp:positionV relativeFrom="paragraph">
                    <wp:posOffset>-2540</wp:posOffset>
                  </wp:positionV>
                  <wp:extent cx="683895" cy="550545"/>
                  <wp:effectExtent l="0" t="0" r="1905" b="1905"/>
                  <wp:wrapTight wrapText="bothSides">
                    <wp:wrapPolygon>
                      <wp:start x="0" y="0"/>
                      <wp:lineTo x="0" y="20927"/>
                      <wp:lineTo x="21058" y="20927"/>
                      <wp:lineTo x="21058" y="0"/>
                      <wp:lineTo x="0" y="0"/>
                    </wp:wrapPolygon>
                  </wp:wrapTight>
                  <wp:docPr id="1" name="图片 2" descr="新湖南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新湖南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b/>
                <w:bCs/>
                <w:sz w:val="30"/>
                <w:szCs w:val="30"/>
              </w:rPr>
              <w:t>2017</w:t>
            </w:r>
            <w:r>
              <w:rPr>
                <w:rFonts w:hint="eastAsia"/>
                <w:b/>
                <w:bCs/>
                <w:sz w:val="30"/>
                <w:szCs w:val="30"/>
              </w:rPr>
              <w:t>年新湖南客户端常规广告刊例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702" w:type="dxa"/>
            <w:gridSpan w:val="2"/>
            <w:vMerge w:val="restart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名称</w:t>
            </w:r>
          </w:p>
        </w:tc>
        <w:tc>
          <w:tcPr>
            <w:tcW w:w="1701" w:type="dxa"/>
            <w:vMerge w:val="restart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位置</w:t>
            </w:r>
          </w:p>
        </w:tc>
        <w:tc>
          <w:tcPr>
            <w:tcW w:w="1559" w:type="dxa"/>
            <w:vMerge w:val="restart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FFFFFF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</w:rPr>
              <w:t>形式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价格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图片格式</w:t>
            </w:r>
          </w:p>
        </w:tc>
        <w:tc>
          <w:tcPr>
            <w:tcW w:w="2126" w:type="dxa"/>
            <w:gridSpan w:val="2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尺寸规格或备注说明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02" w:type="dxa"/>
            <w:gridSpan w:val="2"/>
            <w:vMerge w:val="continue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701" w:type="dxa"/>
            <w:vMerge w:val="continue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59" w:type="dxa"/>
            <w:vMerge w:val="continue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</w:rPr>
              <w:t>（元</w:t>
            </w:r>
            <w:r>
              <w:rPr>
                <w:rFonts w:ascii="微软雅黑" w:hAnsi="微软雅黑" w:eastAsia="微软雅黑" w:cs="微软雅黑"/>
                <w:sz w:val="13"/>
                <w:szCs w:val="13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</w:rPr>
              <w:t>天</w:t>
            </w:r>
            <w:r>
              <w:rPr>
                <w:rFonts w:ascii="微软雅黑" w:hAnsi="微软雅黑" w:eastAsia="微软雅黑" w:cs="微软雅黑"/>
                <w:sz w:val="13"/>
                <w:szCs w:val="13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</w:rPr>
              <w:t>轮播）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3"/>
                <w:szCs w:val="13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</w:rPr>
              <w:t>像素</w:t>
            </w:r>
            <w:r>
              <w:rPr>
                <w:rFonts w:ascii="微软雅黑" w:hAnsi="微软雅黑" w:eastAsia="微软雅黑" w:cs="微软雅黑"/>
                <w:sz w:val="13"/>
                <w:szCs w:val="13"/>
              </w:rPr>
              <w:t>300K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</w:rPr>
              <w:t>内</w:t>
            </w:r>
            <w:r>
              <w:rPr>
                <w:rFonts w:ascii="微软雅黑" w:hAnsi="微软雅黑" w:eastAsia="微软雅黑" w:cs="微软雅黑"/>
                <w:sz w:val="13"/>
                <w:szCs w:val="13"/>
              </w:rPr>
              <w:t>)</w:t>
            </w:r>
          </w:p>
        </w:tc>
        <w:tc>
          <w:tcPr>
            <w:tcW w:w="992" w:type="dxa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Android</w:t>
            </w:r>
          </w:p>
        </w:tc>
        <w:tc>
          <w:tcPr>
            <w:tcW w:w="1134" w:type="dxa"/>
            <w:shd w:val="clear" w:color="auto" w:fill="C0000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IOS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开机页</w:t>
            </w:r>
          </w:p>
        </w:tc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开机页面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（可点击）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FF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全流量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点击图片可进入，广告停留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秒后，自动跳转至首页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JPG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1080*1636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Iphone4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640*792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Iphone5/6/7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1080*1636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轮播（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1/2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轮播（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1/3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开机页面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（不可点击）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FF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全流量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静态图片，广告停留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秒后，自动跳转至首页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轮播（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1/2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轮播（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1/3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轮播图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焦点轮播图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（头条页）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焦点图第一帧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头条页，图片展示广告，点击图片可进入指定网页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PNG/JPG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640*340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640*340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焦点图第二帧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焦点图第三帧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焦点图第四帧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焦点轮播图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（内页频道）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焦点图第一帧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内页频道，图片展示广告，点击图片可进入指定网页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PNG/JPG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640*300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640*300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焦点图第二帧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3.5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焦点图第三帧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焦点图第四帧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2.5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信息流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大图广告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头条页第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标题加图片，点击图片可进入指定网页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PNG/JPG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600*240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600*240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头条页第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内页频道第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内页频道第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列表广告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头条页第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列表格式，有推广字样，图片加标题，点击图片可进入指定网页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PNG/JPG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180*130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180*130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头条页第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内页频道第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内页频道第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尾页广告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新闻详情页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页尾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图片广告，点击图片可进入指定网页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PNG/JPG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600*220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600*220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移动直播</w:t>
            </w:r>
          </w:p>
        </w:tc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视频直播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头条页第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点击可进入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指定页面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PNG/JPG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呈现规格参照各轮播图、大图、列表等广告尺寸。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直播以长沙市内、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小时为基准，每增加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小时或正常上班外时间段直播，按照刊例价格加收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30%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费用。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头条页第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内页频道第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内页频道第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图文直播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头条页第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点击可进入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指定页面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PNG/JPG</w:t>
            </w: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头条页第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内页频道第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内页频道第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分享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流量推送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手机自动弹出广告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点击可进入指定页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FFFFFF"/>
                <w:sz w:val="15"/>
                <w:szCs w:val="15"/>
              </w:rPr>
              <w:t>6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万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  <w:t>PNG/JPG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以文字信息为主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356" w:type="dxa"/>
            <w:gridSpan w:val="8"/>
            <w:tcBorders>
              <w:bottom w:val="single" w:color="000000" w:sz="12" w:space="0"/>
            </w:tcBorders>
            <w:shd w:val="clear" w:color="auto" w:fill="C00000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color w:val="FFFFFF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1.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硬广投放需提前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个工作日提供广告素材</w:t>
            </w:r>
            <w:r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</w:rPr>
              <w:t>，考虑到用户体验，同一广告素材连续投放该位置不得超过</w:t>
            </w:r>
            <w:r>
              <w:rPr>
                <w:rFonts w:ascii="微软雅黑" w:hAnsi="微软雅黑" w:eastAsia="微软雅黑" w:cs="微软雅黑"/>
                <w:color w:val="FFFFFF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</w:rPr>
              <w:t>天。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2.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如需单独采写内容或制作专题，按照刊例价格加收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20%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费用。专题题图尺寸：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640*180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。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3.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如需点击进入新湖南原创的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H5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活动页面，需加收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50,000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元创意制作设计开发费用。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                                                         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4.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所有素材需经“新湖南”进行审核，必要的情况下会进行微调，所有上线广告的图片上或标题下均需添加“广告”或“推广”标签。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5.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在广告发布过程中，如遇国家重大节日或重大新闻事件，经网信办或相关政府部门要求，需要对广告位进行调整发布或者暂停发布的，属于政府行为的不可抗力，新湖南会及时通知广告主和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或广告代理方，并共同协商相关广告另行发布的具体时间，但不承担任何违约责任。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                                                                        </w:t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6.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本刊例</w:t>
            </w:r>
            <w:r>
              <w:rPr>
                <w:rFonts w:ascii="微软雅黑" w:hAnsi="微软雅黑" w:eastAsia="微软雅黑" w:cs="微软雅黑"/>
                <w:color w:val="FFFFFF"/>
                <w:sz w:val="15"/>
                <w:szCs w:val="15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</w:rPr>
              <w:t>年</w:t>
            </w:r>
            <w:r>
              <w:rPr>
                <w:rFonts w:ascii="微软雅黑" w:hAnsi="微软雅黑" w:eastAsia="微软雅黑" w:cs="微软雅黑"/>
                <w:color w:val="FFFFFF"/>
                <w:sz w:val="15"/>
                <w:szCs w:val="15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</w:rPr>
              <w:t>月</w:t>
            </w:r>
            <w:r>
              <w:rPr>
                <w:rFonts w:ascii="微软雅黑" w:hAnsi="微软雅黑" w:eastAsia="微软雅黑" w:cs="微软雅黑"/>
                <w:color w:val="FFFFFF"/>
                <w:sz w:val="15"/>
                <w:szCs w:val="15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</w:rPr>
              <w:t>日起实施，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最终解释权归湖南日报新媒体发展有限公司。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ab/>
            </w:r>
          </w:p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7.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另：湖南日报新媒体发展有限公司微信朋友圈广告制作发布代理：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0731-84326246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7755C"/>
    <w:rsid w:val="05277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2017-06-01T09:02:00Z</dcterms:created>
  <dc:creator>Administrator</dc:creator>
  <cp:lastModifiedBy>Administrator</cp:lastModifiedBy>
  <dcterms:modified xsi:type="dcterms:W3CDTF">2017-06-01T09:03:06Z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