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2" w:lineRule="exact"/>
        <w:rPr>
          <w:sz w:val="24"/>
          <w:szCs w:val="24"/>
          <w:color w:val="auto"/>
        </w:rPr>
      </w:pPr>
    </w:p>
    <w:p>
      <w:pPr>
        <w:jc w:val="center"/>
        <w:ind w:right="6"/>
        <w:spacing w:after="0" w:line="411" w:lineRule="exact"/>
        <w:rPr>
          <w:sz w:val="20"/>
          <w:szCs w:val="20"/>
          <w:color w:val="auto"/>
        </w:rPr>
      </w:pPr>
      <w:r>
        <w:rPr>
          <w:rFonts w:ascii="宋体" w:cs="宋体" w:eastAsia="宋体" w:hAnsi="宋体"/>
          <w:sz w:val="36"/>
          <w:szCs w:val="36"/>
          <w:b w:val="1"/>
          <w:bCs w:val="1"/>
          <w:color w:val="auto"/>
        </w:rPr>
        <w:t>中华人民共和国政府和美利坚合众国政府</w:t>
      </w:r>
    </w:p>
    <w:p>
      <w:pPr>
        <w:spacing w:after="0" w:line="273" w:lineRule="exact"/>
        <w:rPr>
          <w:sz w:val="24"/>
          <w:szCs w:val="24"/>
          <w:color w:val="auto"/>
        </w:rPr>
      </w:pPr>
    </w:p>
    <w:p>
      <w:pPr>
        <w:jc w:val="center"/>
        <w:ind w:right="6"/>
        <w:spacing w:after="0" w:line="411" w:lineRule="exact"/>
        <w:rPr>
          <w:sz w:val="20"/>
          <w:szCs w:val="20"/>
          <w:color w:val="auto"/>
        </w:rPr>
      </w:pPr>
      <w:r>
        <w:rPr>
          <w:rFonts w:ascii="宋体" w:cs="宋体" w:eastAsia="宋体" w:hAnsi="宋体"/>
          <w:sz w:val="36"/>
          <w:szCs w:val="36"/>
          <w:b w:val="1"/>
          <w:bCs w:val="1"/>
          <w:color w:val="auto"/>
        </w:rPr>
        <w:t>经济贸易协议</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90" w:lineRule="exact"/>
        <w:rPr>
          <w:sz w:val="24"/>
          <w:szCs w:val="24"/>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序 言</w:t>
      </w:r>
    </w:p>
    <w:p>
      <w:pPr>
        <w:spacing w:after="0" w:line="386" w:lineRule="exact"/>
        <w:rPr>
          <w:sz w:val="24"/>
          <w:szCs w:val="24"/>
          <w:color w:val="auto"/>
        </w:rPr>
      </w:pPr>
    </w:p>
    <w:p>
      <w:pPr>
        <w:ind w:left="1040"/>
        <w:spacing w:after="0" w:line="328" w:lineRule="exact"/>
        <w:rPr>
          <w:sz w:val="20"/>
          <w:szCs w:val="20"/>
          <w:color w:val="auto"/>
        </w:rPr>
      </w:pPr>
      <w:r>
        <w:rPr>
          <w:rFonts w:ascii="宋体" w:cs="宋体" w:eastAsia="宋体" w:hAnsi="宋体"/>
          <w:sz w:val="27"/>
          <w:szCs w:val="27"/>
          <w:b w:val="1"/>
          <w:bCs w:val="1"/>
          <w:color w:val="auto"/>
        </w:rPr>
        <w:t>中华人民共和国政府与美利坚合众国政府（以下合称</w:t>
      </w:r>
      <w:r>
        <w:rPr>
          <w:rFonts w:ascii="Arial" w:cs="Arial" w:eastAsia="Arial" w:hAnsi="Arial"/>
          <w:sz w:val="27"/>
          <w:szCs w:val="27"/>
          <w:b w:val="1"/>
          <w:bCs w:val="1"/>
          <w:color w:val="auto"/>
        </w:rPr>
        <w:t>“</w:t>
      </w:r>
      <w:r>
        <w:rPr>
          <w:rFonts w:ascii="宋体" w:cs="宋体" w:eastAsia="宋体" w:hAnsi="宋体"/>
          <w:sz w:val="27"/>
          <w:szCs w:val="27"/>
          <w:b w:val="1"/>
          <w:bCs w:val="1"/>
          <w:color w:val="auto"/>
        </w:rPr>
        <w:t>双方</w:t>
      </w:r>
      <w:r>
        <w:rPr>
          <w:rFonts w:ascii="Arial" w:cs="Arial" w:eastAsia="Arial" w:hAnsi="Arial"/>
          <w:sz w:val="27"/>
          <w:szCs w:val="27"/>
          <w:b w:val="1"/>
          <w:bCs w:val="1"/>
          <w:color w:val="auto"/>
        </w:rPr>
        <w:t>”</w:t>
      </w:r>
      <w:r>
        <w:rPr>
          <w:rFonts w:ascii="宋体" w:cs="宋体" w:eastAsia="宋体" w:hAnsi="宋体"/>
          <w:sz w:val="27"/>
          <w:szCs w:val="27"/>
          <w:b w:val="1"/>
          <w:bCs w:val="1"/>
          <w:color w:val="auto"/>
        </w:rPr>
        <w:t>），</w:t>
      </w:r>
    </w:p>
    <w:p>
      <w:pPr>
        <w:spacing w:after="0" w:line="200" w:lineRule="exact"/>
        <w:rPr>
          <w:sz w:val="24"/>
          <w:szCs w:val="24"/>
          <w:color w:val="auto"/>
        </w:rPr>
      </w:pPr>
    </w:p>
    <w:p>
      <w:pPr>
        <w:spacing w:after="0" w:line="241" w:lineRule="exact"/>
        <w:rPr>
          <w:sz w:val="24"/>
          <w:szCs w:val="24"/>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认识到双边经贸关系的重要性；</w:t>
      </w:r>
    </w:p>
    <w:p>
      <w:pPr>
        <w:spacing w:after="0" w:line="200" w:lineRule="exact"/>
        <w:rPr>
          <w:sz w:val="24"/>
          <w:szCs w:val="24"/>
          <w:color w:val="auto"/>
        </w:rPr>
      </w:pPr>
    </w:p>
    <w:p>
      <w:pPr>
        <w:spacing w:after="0" w:line="283" w:lineRule="exact"/>
        <w:rPr>
          <w:sz w:val="24"/>
          <w:szCs w:val="24"/>
          <w:color w:val="auto"/>
        </w:rPr>
      </w:pPr>
    </w:p>
    <w:p>
      <w:pPr>
        <w:ind w:left="480" w:right="486" w:firstLine="552"/>
        <w:spacing w:after="0" w:line="412" w:lineRule="exact"/>
        <w:rPr>
          <w:sz w:val="20"/>
          <w:szCs w:val="20"/>
          <w:color w:val="auto"/>
        </w:rPr>
      </w:pPr>
      <w:r>
        <w:rPr>
          <w:rFonts w:ascii="宋体" w:cs="宋体" w:eastAsia="宋体" w:hAnsi="宋体"/>
          <w:sz w:val="28"/>
          <w:szCs w:val="28"/>
          <w:b w:val="1"/>
          <w:bCs w:val="1"/>
          <w:color w:val="auto"/>
        </w:rPr>
        <w:t>认识到贸易增长和遵循国际规范、以促进基于市场的成果，符合两国的利益；</w:t>
      </w:r>
    </w:p>
    <w:p>
      <w:pPr>
        <w:spacing w:after="0" w:line="200" w:lineRule="exact"/>
        <w:rPr>
          <w:sz w:val="24"/>
          <w:szCs w:val="24"/>
          <w:color w:val="auto"/>
        </w:rPr>
      </w:pPr>
    </w:p>
    <w:p>
      <w:pPr>
        <w:spacing w:after="0" w:line="283" w:lineRule="exact"/>
        <w:rPr>
          <w:sz w:val="24"/>
          <w:szCs w:val="24"/>
          <w:color w:val="auto"/>
        </w:rPr>
      </w:pPr>
    </w:p>
    <w:p>
      <w:pPr>
        <w:ind w:left="480" w:right="486" w:firstLine="552"/>
        <w:spacing w:after="0" w:line="413" w:lineRule="exact"/>
        <w:rPr>
          <w:sz w:val="20"/>
          <w:szCs w:val="20"/>
          <w:color w:val="auto"/>
        </w:rPr>
      </w:pPr>
      <w:r>
        <w:rPr>
          <w:rFonts w:ascii="宋体" w:cs="宋体" w:eastAsia="宋体" w:hAnsi="宋体"/>
          <w:sz w:val="28"/>
          <w:szCs w:val="28"/>
          <w:b w:val="1"/>
          <w:bCs w:val="1"/>
          <w:color w:val="auto"/>
        </w:rPr>
        <w:t>深信和谐发展、扩大全球贸易和促进更广泛国际合作可带来的益处；</w:t>
      </w:r>
    </w:p>
    <w:p>
      <w:pPr>
        <w:spacing w:after="0" w:line="200" w:lineRule="exact"/>
        <w:rPr>
          <w:sz w:val="24"/>
          <w:szCs w:val="24"/>
          <w:color w:val="auto"/>
        </w:rPr>
      </w:pPr>
    </w:p>
    <w:p>
      <w:pPr>
        <w:spacing w:after="0" w:line="242" w:lineRule="exact"/>
        <w:rPr>
          <w:sz w:val="24"/>
          <w:szCs w:val="24"/>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承认双方提出的现有贸易和投资关切；</w:t>
      </w:r>
    </w:p>
    <w:p>
      <w:pPr>
        <w:spacing w:after="0" w:line="200" w:lineRule="exact"/>
        <w:rPr>
          <w:sz w:val="24"/>
          <w:szCs w:val="24"/>
          <w:color w:val="auto"/>
        </w:rPr>
      </w:pPr>
    </w:p>
    <w:p>
      <w:pPr>
        <w:spacing w:after="0" w:line="283" w:lineRule="exact"/>
        <w:rPr>
          <w:sz w:val="24"/>
          <w:szCs w:val="24"/>
          <w:color w:val="auto"/>
        </w:rPr>
      </w:pPr>
    </w:p>
    <w:p>
      <w:pPr>
        <w:ind w:left="480" w:right="486" w:firstLine="552"/>
        <w:spacing w:after="0" w:line="412" w:lineRule="exact"/>
        <w:rPr>
          <w:sz w:val="20"/>
          <w:szCs w:val="20"/>
          <w:color w:val="auto"/>
        </w:rPr>
      </w:pPr>
      <w:r>
        <w:rPr>
          <w:rFonts w:ascii="宋体" w:cs="宋体" w:eastAsia="宋体" w:hAnsi="宋体"/>
          <w:sz w:val="28"/>
          <w:szCs w:val="28"/>
          <w:b w:val="1"/>
          <w:bCs w:val="1"/>
          <w:color w:val="auto"/>
        </w:rPr>
        <w:t>认识到以尽可能建设性的、快速的方式解决现有和未来贸易与投资关切是可取的，</w:t>
      </w:r>
    </w:p>
    <w:p>
      <w:pPr>
        <w:spacing w:after="0" w:line="200" w:lineRule="exact"/>
        <w:rPr>
          <w:sz w:val="24"/>
          <w:szCs w:val="24"/>
          <w:color w:val="auto"/>
        </w:rPr>
      </w:pPr>
    </w:p>
    <w:p>
      <w:pPr>
        <w:spacing w:after="0" w:line="244" w:lineRule="exact"/>
        <w:rPr>
          <w:sz w:val="24"/>
          <w:szCs w:val="24"/>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达成以下协议：</w:t>
      </w:r>
    </w:p>
    <w:p>
      <w:pPr>
        <w:sectPr>
          <w:pgSz w:w="11900" w:h="16838" w:orient="portrait"/>
          <w:cols w:equalWidth="0" w:num="1">
            <w:col w:w="9026"/>
          </w:cols>
          <w:pgMar w:left="1440" w:top="1440" w:right="1440" w:bottom="1440" w:gutter="0" w:footer="0" w:header="0"/>
        </w:sectPr>
      </w:pP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第一章 知识产权</w:t>
      </w:r>
    </w:p>
    <w:p>
      <w:pPr>
        <w:spacing w:after="0" w:line="200" w:lineRule="exact"/>
        <w:rPr>
          <w:sz w:val="20"/>
          <w:szCs w:val="20"/>
          <w:color w:val="auto"/>
        </w:rPr>
      </w:pPr>
    </w:p>
    <w:p>
      <w:pPr>
        <w:spacing w:after="0" w:line="259"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第一节 一般义务</w:t>
      </w:r>
    </w:p>
    <w:p>
      <w:pPr>
        <w:spacing w:after="0" w:line="200" w:lineRule="exact"/>
        <w:rPr>
          <w:sz w:val="20"/>
          <w:szCs w:val="20"/>
          <w:color w:val="auto"/>
        </w:rPr>
      </w:pPr>
    </w:p>
    <w:p>
      <w:pPr>
        <w:spacing w:after="0" w:line="281" w:lineRule="exact"/>
        <w:rPr>
          <w:sz w:val="20"/>
          <w:szCs w:val="20"/>
          <w:color w:val="auto"/>
        </w:rPr>
      </w:pPr>
    </w:p>
    <w:p>
      <w:pPr>
        <w:jc w:val="both"/>
        <w:ind w:left="480" w:right="486" w:firstLine="629"/>
        <w:spacing w:after="0" w:line="492" w:lineRule="exact"/>
        <w:rPr>
          <w:sz w:val="20"/>
          <w:szCs w:val="20"/>
          <w:color w:val="auto"/>
        </w:rPr>
      </w:pPr>
      <w:r>
        <w:rPr>
          <w:rFonts w:ascii="宋体" w:cs="宋体" w:eastAsia="宋体" w:hAnsi="宋体"/>
          <w:sz w:val="28"/>
          <w:szCs w:val="28"/>
          <w:b w:val="1"/>
          <w:bCs w:val="1"/>
          <w:color w:val="auto"/>
        </w:rPr>
        <w:t>美国认识到知识产权保护的重要性。中国正从重要知识产权消费国转变为重要知识产权生产国，中国认识到，建立和实施知识产权保护和执行的全面法律体系的重要性。中国认为，不断加强知识产权保护和执法，有利于建设创新型国家，发展创新型企业，推动经济高质量发展。</w:t>
      </w:r>
    </w:p>
    <w:p>
      <w:pPr>
        <w:spacing w:after="0" w:line="200" w:lineRule="exact"/>
        <w:rPr>
          <w:sz w:val="20"/>
          <w:szCs w:val="20"/>
          <w:color w:val="auto"/>
        </w:rPr>
      </w:pPr>
    </w:p>
    <w:p>
      <w:pPr>
        <w:spacing w:after="0" w:line="24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w:t>
      </w:r>
      <w:r>
        <w:rPr>
          <w:rFonts w:ascii="宋体" w:cs="宋体" w:eastAsia="宋体" w:hAnsi="宋体"/>
          <w:sz w:val="28"/>
          <w:szCs w:val="28"/>
          <w:b w:val="1"/>
          <w:bCs w:val="1"/>
          <w:color w:val="auto"/>
        </w:rPr>
        <w:t>条</w:t>
      </w:r>
    </w:p>
    <w:p>
      <w:pPr>
        <w:spacing w:after="0" w:line="200" w:lineRule="exact"/>
        <w:rPr>
          <w:sz w:val="20"/>
          <w:szCs w:val="20"/>
          <w:color w:val="auto"/>
        </w:rPr>
      </w:pPr>
    </w:p>
    <w:p>
      <w:pPr>
        <w:spacing w:after="0" w:line="217"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中国与美国为此确认承诺有关知识产权第一节至第十一节的</w:t>
      </w:r>
    </w:p>
    <w:p>
      <w:pPr>
        <w:spacing w:after="0" w:line="22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条款。</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w:t>
      </w:r>
      <w:r>
        <w:rPr>
          <w:rFonts w:ascii="宋体" w:cs="宋体" w:eastAsia="宋体" w:hAnsi="宋体"/>
          <w:sz w:val="28"/>
          <w:szCs w:val="28"/>
          <w:b w:val="1"/>
          <w:bCs w:val="1"/>
          <w:color w:val="auto"/>
        </w:rPr>
        <w:t>条</w:t>
      </w:r>
    </w:p>
    <w:p>
      <w:pPr>
        <w:spacing w:after="0" w:line="200" w:lineRule="exact"/>
        <w:rPr>
          <w:sz w:val="20"/>
          <w:szCs w:val="20"/>
          <w:color w:val="auto"/>
        </w:rPr>
      </w:pPr>
    </w:p>
    <w:p>
      <w:pPr>
        <w:spacing w:after="0" w:line="259" w:lineRule="exact"/>
        <w:rPr>
          <w:sz w:val="20"/>
          <w:szCs w:val="20"/>
          <w:color w:val="auto"/>
        </w:rPr>
      </w:pPr>
    </w:p>
    <w:p>
      <w:pPr>
        <w:jc w:val="both"/>
        <w:ind w:left="480" w:right="486" w:firstLine="562"/>
        <w:spacing w:after="0" w:line="457" w:lineRule="exact"/>
        <w:rPr>
          <w:sz w:val="20"/>
          <w:szCs w:val="20"/>
          <w:color w:val="auto"/>
        </w:rPr>
      </w:pPr>
      <w:r>
        <w:rPr>
          <w:rFonts w:ascii="宋体" w:cs="宋体" w:eastAsia="宋体" w:hAnsi="宋体"/>
          <w:sz w:val="28"/>
          <w:szCs w:val="28"/>
          <w:b w:val="1"/>
          <w:bCs w:val="1"/>
          <w:color w:val="auto"/>
        </w:rPr>
        <w:t>双方应确保公平、充分、有效的知识产权保护和执法。对于依赖知识产权保护的一方个人，对方应确保为其提供公平、平等的市场准入。</w:t>
      </w:r>
    </w:p>
    <w:p>
      <w:pPr>
        <w:spacing w:after="0" w:line="200" w:lineRule="exact"/>
        <w:rPr>
          <w:sz w:val="20"/>
          <w:szCs w:val="20"/>
          <w:color w:val="auto"/>
        </w:rPr>
      </w:pPr>
    </w:p>
    <w:p>
      <w:pPr>
        <w:spacing w:after="0" w:line="242"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第二节 商业秘密和保密商务信息</w:t>
      </w:r>
    </w:p>
    <w:p>
      <w:pPr>
        <w:spacing w:after="0" w:line="200" w:lineRule="exact"/>
        <w:rPr>
          <w:sz w:val="20"/>
          <w:szCs w:val="20"/>
          <w:color w:val="auto"/>
        </w:rPr>
      </w:pPr>
    </w:p>
    <w:p>
      <w:pPr>
        <w:spacing w:after="0" w:line="242"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美国重视商业秘密保护。中国认为保护商业秘密是优化营商</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环境的核心要素之一。双方同意，确保对商业秘密和保密商务信息</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1-1</w:t>
      </w:r>
    </w:p>
    <w:p>
      <w:pPr>
        <w:sectPr>
          <w:pgSz w:w="11900" w:h="16838" w:orient="portrait"/>
          <w:cols w:equalWidth="0" w:num="1">
            <w:col w:w="9026"/>
          </w:cols>
          <w:pgMar w:left="1440" w:top="1440" w:right="1440" w:bottom="435"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ind w:left="480"/>
        <w:spacing w:after="0" w:line="438" w:lineRule="exact"/>
        <w:rPr>
          <w:sz w:val="20"/>
          <w:szCs w:val="20"/>
          <w:color w:val="auto"/>
        </w:rPr>
      </w:pPr>
      <w:r>
        <w:rPr>
          <w:rFonts w:ascii="宋体" w:cs="宋体" w:eastAsia="宋体" w:hAnsi="宋体"/>
          <w:sz w:val="28"/>
          <w:szCs w:val="28"/>
          <w:b w:val="1"/>
          <w:bCs w:val="1"/>
          <w:color w:val="auto"/>
        </w:rPr>
        <w:t>的有效保护，以及对侵犯上述信息</w:t>
      </w:r>
      <w:r>
        <w:rPr>
          <w:rFonts w:ascii="Times New Roman" w:cs="Times New Roman" w:eastAsia="Times New Roman" w:hAnsi="Times New Roman"/>
          <w:sz w:val="36"/>
          <w:szCs w:val="36"/>
          <w:b w:val="1"/>
          <w:bCs w:val="1"/>
          <w:color w:val="auto"/>
          <w:vertAlign w:val="superscript"/>
        </w:rPr>
        <w:t>1</w:t>
      </w:r>
      <w:r>
        <w:rPr>
          <w:rFonts w:ascii="宋体" w:cs="宋体" w:eastAsia="宋体" w:hAnsi="宋体"/>
          <w:sz w:val="28"/>
          <w:szCs w:val="28"/>
          <w:b w:val="1"/>
          <w:bCs w:val="1"/>
          <w:color w:val="auto"/>
        </w:rPr>
        <w:t>行为的有效执法。</w:t>
      </w:r>
    </w:p>
    <w:p>
      <w:pPr>
        <w:spacing w:after="0" w:line="343"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w:t>
      </w:r>
      <w:r>
        <w:rPr>
          <w:rFonts w:ascii="宋体" w:cs="宋体" w:eastAsia="宋体" w:hAnsi="宋体"/>
          <w:sz w:val="28"/>
          <w:szCs w:val="28"/>
          <w:b w:val="1"/>
          <w:bCs w:val="1"/>
          <w:color w:val="auto"/>
        </w:rPr>
        <w:t>条 侵犯商业秘密责任人的范围</w:t>
      </w:r>
    </w:p>
    <w:p>
      <w:pPr>
        <w:spacing w:after="0" w:line="200" w:lineRule="exact"/>
        <w:rPr>
          <w:sz w:val="20"/>
          <w:szCs w:val="20"/>
          <w:color w:val="auto"/>
        </w:rPr>
      </w:pPr>
    </w:p>
    <w:p>
      <w:pPr>
        <w:spacing w:after="0" w:line="261"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一、双方应确保所有自然人和法人均可承担侵犯商业秘密的法律责任。</w:t>
      </w:r>
    </w:p>
    <w:p>
      <w:pPr>
        <w:spacing w:after="0" w:line="200" w:lineRule="exact"/>
        <w:rPr>
          <w:sz w:val="20"/>
          <w:szCs w:val="20"/>
          <w:color w:val="auto"/>
        </w:rPr>
      </w:pPr>
    </w:p>
    <w:p>
      <w:pPr>
        <w:spacing w:after="0" w:line="283"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二、中国应将侵犯商业秘密的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经营者</w:t>
      </w:r>
      <w:r>
        <w:rPr>
          <w:rFonts w:ascii="Arial" w:cs="Arial" w:eastAsia="Arial" w:hAnsi="Arial"/>
          <w:sz w:val="28"/>
          <w:szCs w:val="28"/>
          <w:b w:val="1"/>
          <w:bCs w:val="1"/>
          <w:color w:val="auto"/>
        </w:rPr>
        <w:t>”</w:t>
      </w:r>
      <w:r>
        <w:rPr>
          <w:rFonts w:ascii="宋体" w:cs="宋体" w:eastAsia="宋体" w:hAnsi="宋体"/>
          <w:sz w:val="28"/>
          <w:szCs w:val="28"/>
          <w:b w:val="1"/>
          <w:bCs w:val="1"/>
          <w:color w:val="auto"/>
        </w:rPr>
        <w:t>定义为包括所有自然人、组织和法人。</w:t>
      </w:r>
    </w:p>
    <w:p>
      <w:pPr>
        <w:spacing w:after="0" w:line="200" w:lineRule="exact"/>
        <w:rPr>
          <w:sz w:val="20"/>
          <w:szCs w:val="20"/>
          <w:color w:val="auto"/>
        </w:rPr>
      </w:pPr>
    </w:p>
    <w:p>
      <w:pPr>
        <w:spacing w:after="0" w:line="252"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三、美国确认，美国现行措施给予与本条款规定内容同等的待</w:t>
      </w:r>
    </w:p>
    <w:p>
      <w:pPr>
        <w:spacing w:after="0" w:line="22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00" w:lineRule="exact"/>
        <w:rPr>
          <w:sz w:val="20"/>
          <w:szCs w:val="20"/>
          <w:color w:val="auto"/>
        </w:rPr>
      </w:pPr>
    </w:p>
    <w:p>
      <w:pPr>
        <w:spacing w:after="0" w:line="245" w:lineRule="exact"/>
        <w:rPr>
          <w:sz w:val="20"/>
          <w:szCs w:val="20"/>
          <w:color w:val="auto"/>
        </w:rPr>
      </w:pPr>
    </w:p>
    <w:p>
      <w:pPr>
        <w:jc w:val="center"/>
        <w:ind w:right="20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1.4</w:t>
      </w:r>
      <w:r>
        <w:rPr>
          <w:rFonts w:ascii="宋体" w:cs="宋体" w:eastAsia="宋体" w:hAnsi="宋体"/>
          <w:sz w:val="28"/>
          <w:szCs w:val="28"/>
          <w:b w:val="1"/>
          <w:bCs w:val="1"/>
          <w:color w:val="auto"/>
        </w:rPr>
        <w:t>条 构成侵犯商业秘密的禁止行为范围</w:t>
      </w:r>
    </w:p>
    <w:p>
      <w:pPr>
        <w:spacing w:after="0" w:line="200" w:lineRule="exact"/>
        <w:rPr>
          <w:sz w:val="20"/>
          <w:szCs w:val="20"/>
          <w:color w:val="auto"/>
        </w:rPr>
      </w:pPr>
    </w:p>
    <w:p>
      <w:pPr>
        <w:spacing w:after="0" w:line="259"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一、双方应确保，侵犯商业秘密被追究责任的禁止行为，其范围完全涵盖盗窃商业秘密的方式。</w:t>
      </w:r>
    </w:p>
    <w:p>
      <w:pPr>
        <w:spacing w:after="0" w:line="200" w:lineRule="exact"/>
        <w:rPr>
          <w:sz w:val="20"/>
          <w:szCs w:val="20"/>
          <w:color w:val="auto"/>
        </w:rPr>
      </w:pPr>
    </w:p>
    <w:p>
      <w:pPr>
        <w:spacing w:after="0" w:line="284" w:lineRule="exact"/>
        <w:rPr>
          <w:sz w:val="20"/>
          <w:szCs w:val="20"/>
          <w:color w:val="auto"/>
        </w:rPr>
      </w:pPr>
    </w:p>
    <w:p>
      <w:pPr>
        <w:jc w:val="both"/>
        <w:ind w:left="480" w:right="486" w:firstLine="552"/>
        <w:spacing w:after="0" w:line="492" w:lineRule="exact"/>
        <w:rPr>
          <w:sz w:val="20"/>
          <w:szCs w:val="20"/>
          <w:color w:val="auto"/>
        </w:rPr>
      </w:pPr>
      <w:r>
        <w:rPr>
          <w:rFonts w:ascii="宋体" w:cs="宋体" w:eastAsia="宋体" w:hAnsi="宋体"/>
          <w:sz w:val="28"/>
          <w:szCs w:val="28"/>
          <w:b w:val="1"/>
          <w:bCs w:val="1"/>
          <w:color w:val="auto"/>
        </w:rPr>
        <w:t>二、中国应列出构成侵犯商业秘密的其他行为，尤其是：（一）电子入侵；（二）违反或诱导违反不披露秘密信息或意图保密的信息的义务；（三）对于在有义务保护商业秘密不被披露或有义务限制使用商业秘密的情形下获得的商业秘密，未经授权予以披露或使用。</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309245</wp:posOffset>
                </wp:positionH>
                <wp:positionV relativeFrom="paragraph">
                  <wp:posOffset>518160</wp:posOffset>
                </wp:positionV>
                <wp:extent cx="18294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5pt,40.8pt" to="168.4pt,40.8pt" o:allowincell="f" strokecolor="#000000" strokeweight="0.8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3" w:lineRule="exact"/>
        <w:rPr>
          <w:sz w:val="20"/>
          <w:szCs w:val="20"/>
          <w:color w:val="auto"/>
        </w:rPr>
      </w:pPr>
    </w:p>
    <w:p>
      <w:pPr>
        <w:jc w:val="both"/>
        <w:ind w:left="480" w:right="486" w:firstLine="8"/>
        <w:spacing w:after="0" w:line="297" w:lineRule="exact"/>
        <w:tabs>
          <w:tab w:leader="none" w:pos="684" w:val="left"/>
        </w:tabs>
        <w:numPr>
          <w:ilvl w:val="0"/>
          <w:numId w:val="1"/>
        </w:numPr>
        <w:rPr>
          <w:rFonts w:ascii="Times New Roman" w:cs="Times New Roman" w:eastAsia="Times New Roman" w:hAnsi="Times New Roman"/>
          <w:sz w:val="32"/>
          <w:szCs w:val="32"/>
          <w:b w:val="1"/>
          <w:bCs w:val="1"/>
          <w:color w:val="auto"/>
          <w:vertAlign w:val="superscript"/>
        </w:rPr>
      </w:pPr>
      <w:r>
        <w:rPr>
          <w:rFonts w:ascii="宋体" w:cs="宋体" w:eastAsia="宋体" w:hAnsi="宋体"/>
          <w:sz w:val="24"/>
          <w:szCs w:val="24"/>
          <w:b w:val="1"/>
          <w:bCs w:val="1"/>
          <w:color w:val="auto"/>
        </w:rPr>
        <w:t>双方同意，保密商务信息是涉及或与如下情况相关的信息：任何自然人或法人的商业秘密、流程、经营、作品风格或设备，或生产、商业交易，或物流、客户信息、库存，或收入、利润、损失或费用的金额或来源，或其他具备商业价值的信息，且披露上述信息可能对持有该信息的自然人或法人的竞争地位造成极大损害。</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1-2</w:t>
      </w:r>
    </w:p>
    <w:p>
      <w:pPr>
        <w:sectPr>
          <w:pgSz w:w="11900" w:h="16838" w:orient="portrait"/>
          <w:cols w:equalWidth="0" w:num="1">
            <w:col w:w="9026"/>
          </w:cols>
          <w:pgMar w:left="1440" w:top="1440" w:right="1440" w:bottom="435"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三、中国与美国同意加强商业秘密保护方面的合作。</w:t>
      </w:r>
    </w:p>
    <w:p>
      <w:pPr>
        <w:spacing w:after="0" w:line="200" w:lineRule="exact"/>
        <w:rPr>
          <w:sz w:val="20"/>
          <w:szCs w:val="20"/>
          <w:color w:val="auto"/>
        </w:rPr>
      </w:pPr>
    </w:p>
    <w:p>
      <w:pPr>
        <w:spacing w:after="0" w:line="250"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四、美国确认，美国现行措施给予与本条款规定内容同等的待</w:t>
      </w:r>
    </w:p>
    <w:p>
      <w:pPr>
        <w:spacing w:after="0" w:line="22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1.5</w:t>
      </w:r>
      <w:r>
        <w:rPr>
          <w:rFonts w:ascii="宋体" w:cs="宋体" w:eastAsia="宋体" w:hAnsi="宋体"/>
          <w:sz w:val="28"/>
          <w:szCs w:val="28"/>
          <w:b w:val="1"/>
          <w:bCs w:val="1"/>
          <w:color w:val="auto"/>
        </w:rPr>
        <w:t>条 民事程序中的举证责任转移</w:t>
      </w:r>
    </w:p>
    <w:p>
      <w:pPr>
        <w:spacing w:after="0" w:line="200" w:lineRule="exact"/>
        <w:rPr>
          <w:sz w:val="20"/>
          <w:szCs w:val="20"/>
          <w:color w:val="auto"/>
        </w:rPr>
      </w:pPr>
    </w:p>
    <w:p>
      <w:pPr>
        <w:spacing w:after="0" w:line="259" w:lineRule="exact"/>
        <w:rPr>
          <w:sz w:val="20"/>
          <w:szCs w:val="20"/>
          <w:color w:val="auto"/>
        </w:rPr>
      </w:pPr>
    </w:p>
    <w:p>
      <w:pPr>
        <w:jc w:val="both"/>
        <w:ind w:left="480" w:right="486" w:firstLine="552"/>
        <w:spacing w:after="0" w:line="478" w:lineRule="exact"/>
        <w:rPr>
          <w:sz w:val="20"/>
          <w:szCs w:val="20"/>
          <w:color w:val="auto"/>
        </w:rPr>
      </w:pPr>
      <w:r>
        <w:rPr>
          <w:rFonts w:ascii="宋体" w:cs="宋体" w:eastAsia="宋体" w:hAnsi="宋体"/>
          <w:sz w:val="28"/>
          <w:szCs w:val="28"/>
          <w:b w:val="1"/>
          <w:bCs w:val="1"/>
          <w:color w:val="auto"/>
        </w:rPr>
        <w:t>一、双方应规定，在侵犯商业秘密的民事司法程序中，如商业秘密权利人已提供包括间接证据在内的初步证据，合理指向被告方侵犯商业秘密，则举证责任或提供证据的责任（在各自法律体系下使用适当的用词）转移至被告方。</w:t>
      </w:r>
    </w:p>
    <w:p>
      <w:pPr>
        <w:spacing w:after="0" w:line="319" w:lineRule="exact"/>
        <w:rPr>
          <w:sz w:val="20"/>
          <w:szCs w:val="20"/>
          <w:color w:val="auto"/>
        </w:rPr>
      </w:pPr>
    </w:p>
    <w:p>
      <w:pPr>
        <w:jc w:val="both"/>
        <w:ind w:left="480" w:right="486" w:firstLine="552"/>
        <w:spacing w:after="0" w:line="411" w:lineRule="exact"/>
        <w:rPr>
          <w:sz w:val="20"/>
          <w:szCs w:val="20"/>
          <w:color w:val="auto"/>
        </w:rPr>
      </w:pPr>
      <w:r>
        <w:rPr>
          <w:rFonts w:ascii="宋体" w:cs="宋体" w:eastAsia="宋体" w:hAnsi="宋体"/>
          <w:sz w:val="27"/>
          <w:szCs w:val="27"/>
          <w:b w:val="1"/>
          <w:bCs w:val="1"/>
          <w:color w:val="auto"/>
        </w:rPr>
        <w:t>二、中国应规定：（一）当商业秘密权利人提供以下证据，未侵犯商业秘密的举证责任或提供证据的责任（在各自法律体系下使</w:t>
      </w:r>
    </w:p>
    <w:p>
      <w:pPr>
        <w:spacing w:after="0" w:line="227"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用适当的用词）转移至被告方：</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被告方曾有渠道或机会获取商业</w:t>
      </w:r>
    </w:p>
    <w:p>
      <w:pPr>
        <w:spacing w:after="0" w:line="202"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秘密的证据，且被告方使用的信息在实质上与该商业秘密相同；</w:t>
      </w:r>
      <w:r>
        <w:rPr>
          <w:rFonts w:ascii="Times New Roman" w:cs="Times New Roman" w:eastAsia="Times New Roman" w:hAnsi="Times New Roman"/>
          <w:sz w:val="28"/>
          <w:szCs w:val="28"/>
          <w:b w:val="1"/>
          <w:bCs w:val="1"/>
          <w:color w:val="auto"/>
        </w:rPr>
        <w:t>2.</w:t>
      </w:r>
    </w:p>
    <w:p>
      <w:pPr>
        <w:spacing w:after="0" w:line="237" w:lineRule="exact"/>
        <w:rPr>
          <w:sz w:val="20"/>
          <w:szCs w:val="20"/>
          <w:color w:val="auto"/>
        </w:rPr>
      </w:pPr>
    </w:p>
    <w:p>
      <w:pPr>
        <w:jc w:val="both"/>
        <w:ind w:left="480" w:right="486"/>
        <w:spacing w:after="0" w:line="501" w:lineRule="exact"/>
        <w:rPr>
          <w:sz w:val="20"/>
          <w:szCs w:val="20"/>
          <w:color w:val="auto"/>
        </w:rPr>
      </w:pPr>
      <w:r>
        <w:rPr>
          <w:rFonts w:ascii="宋体" w:cs="宋体" w:eastAsia="宋体" w:hAnsi="宋体"/>
          <w:sz w:val="28"/>
          <w:szCs w:val="28"/>
          <w:b w:val="1"/>
          <w:bCs w:val="1"/>
          <w:color w:val="auto"/>
        </w:rPr>
        <w:t>商业秘密已被或存在遭被告方披露或使用的风险的证据；或</w:t>
      </w: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商业秘密遭到被告方侵犯的其他证据；以及（二）在权利人提供初步证据，证明其已对其主张的商业秘密采取保密措施的情形下，举证责任或提供证据的责任（在各自法律体系下使用适当的用词）转移至被告方，以证明权利人确认的商业秘密为通常处理所涉信息范围内的人所普遍知道或容易获得，因而不是商业秘密。</w:t>
      </w:r>
    </w:p>
    <w:p>
      <w:pPr>
        <w:spacing w:after="0" w:line="200" w:lineRule="exact"/>
        <w:rPr>
          <w:sz w:val="20"/>
          <w:szCs w:val="20"/>
          <w:color w:val="auto"/>
        </w:rPr>
      </w:pPr>
    </w:p>
    <w:p>
      <w:pPr>
        <w:spacing w:after="0" w:line="293" w:lineRule="exact"/>
        <w:rPr>
          <w:sz w:val="20"/>
          <w:szCs w:val="20"/>
          <w:color w:val="auto"/>
        </w:rPr>
      </w:pPr>
    </w:p>
    <w:p>
      <w:pPr>
        <w:jc w:val="both"/>
        <w:ind w:left="480" w:right="486" w:firstLine="552"/>
        <w:spacing w:after="0" w:line="413"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三、美国确认，美国现行措施给予与本条款规定内容同等的待遇。</w:t>
      </w:r>
    </w:p>
    <w:p>
      <w:pPr>
        <w:spacing w:after="0" w:line="200" w:lineRule="exact"/>
        <w:rPr>
          <w:sz w:val="20"/>
          <w:szCs w:val="20"/>
          <w:color w:val="auto"/>
        </w:rPr>
      </w:pPr>
    </w:p>
    <w:p>
      <w:pPr>
        <w:spacing w:after="0" w:line="243"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1.6</w:t>
      </w:r>
      <w:r>
        <w:rPr>
          <w:rFonts w:ascii="宋体" w:cs="宋体" w:eastAsia="宋体" w:hAnsi="宋体"/>
          <w:sz w:val="28"/>
          <w:szCs w:val="28"/>
          <w:b w:val="1"/>
          <w:bCs w:val="1"/>
          <w:color w:val="auto"/>
        </w:rPr>
        <w:t>条 阻止使用商业秘密的临时措施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1-3</w:t>
      </w:r>
    </w:p>
    <w:p>
      <w:pPr>
        <w:sectPr>
          <w:pgSz w:w="11900" w:h="16838" w:orient="portrait"/>
          <w:cols w:equalWidth="0" w:num="1">
            <w:col w:w="9026"/>
          </w:cols>
          <w:pgMar w:left="1440" w:top="1440" w:right="1440" w:bottom="435"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480" w:right="486" w:firstLine="552"/>
        <w:spacing w:after="0" w:line="412" w:lineRule="exact"/>
        <w:rPr>
          <w:sz w:val="20"/>
          <w:szCs w:val="20"/>
          <w:color w:val="auto"/>
        </w:rPr>
      </w:pPr>
      <w:r>
        <w:rPr>
          <w:rFonts w:ascii="宋体" w:cs="宋体" w:eastAsia="宋体" w:hAnsi="宋体"/>
          <w:sz w:val="28"/>
          <w:szCs w:val="28"/>
          <w:b w:val="1"/>
          <w:bCs w:val="1"/>
          <w:color w:val="auto"/>
        </w:rPr>
        <w:t>一、双方应规定及时、有效的临时措施，以阻止使用被侵犯的商业秘密。</w:t>
      </w:r>
    </w:p>
    <w:p>
      <w:pPr>
        <w:spacing w:after="0" w:line="200" w:lineRule="exact"/>
        <w:rPr>
          <w:sz w:val="20"/>
          <w:szCs w:val="20"/>
          <w:color w:val="auto"/>
        </w:rPr>
      </w:pPr>
    </w:p>
    <w:p>
      <w:pPr>
        <w:spacing w:after="0" w:line="283" w:lineRule="exact"/>
        <w:rPr>
          <w:sz w:val="20"/>
          <w:szCs w:val="20"/>
          <w:color w:val="auto"/>
        </w:rPr>
      </w:pPr>
    </w:p>
    <w:p>
      <w:pPr>
        <w:jc w:val="both"/>
        <w:ind w:left="480" w:right="486" w:firstLine="552"/>
        <w:spacing w:after="0" w:line="457" w:lineRule="exact"/>
        <w:rPr>
          <w:sz w:val="20"/>
          <w:szCs w:val="20"/>
          <w:color w:val="auto"/>
        </w:rPr>
      </w:pPr>
      <w:r>
        <w:rPr>
          <w:rFonts w:ascii="宋体" w:cs="宋体" w:eastAsia="宋体" w:hAnsi="宋体"/>
          <w:sz w:val="28"/>
          <w:szCs w:val="28"/>
          <w:b w:val="1"/>
          <w:bCs w:val="1"/>
          <w:color w:val="auto"/>
        </w:rPr>
        <w:t>二、中国应将使用或试图使用所主张的商业秘密信息认定为</w:t>
      </w:r>
      <w:r>
        <w:rPr>
          <w:rFonts w:ascii="Arial" w:cs="Arial" w:eastAsia="Arial" w:hAnsi="Arial"/>
          <w:sz w:val="28"/>
          <w:szCs w:val="28"/>
          <w:b w:val="1"/>
          <w:bCs w:val="1"/>
          <w:color w:val="auto"/>
        </w:rPr>
        <w:t>“</w:t>
      </w:r>
      <w:r>
        <w:rPr>
          <w:rFonts w:ascii="宋体" w:cs="宋体" w:eastAsia="宋体" w:hAnsi="宋体"/>
          <w:sz w:val="28"/>
          <w:szCs w:val="28"/>
          <w:b w:val="1"/>
          <w:bCs w:val="1"/>
          <w:color w:val="auto"/>
        </w:rPr>
        <w:t>紧急情况</w:t>
      </w:r>
      <w:r>
        <w:rPr>
          <w:rFonts w:ascii="Arial" w:cs="Arial" w:eastAsia="Arial" w:hAnsi="Arial"/>
          <w:sz w:val="28"/>
          <w:szCs w:val="28"/>
          <w:b w:val="1"/>
          <w:bCs w:val="1"/>
          <w:color w:val="auto"/>
        </w:rPr>
        <w:t>”</w:t>
      </w:r>
      <w:r>
        <w:rPr>
          <w:rFonts w:ascii="宋体" w:cs="宋体" w:eastAsia="宋体" w:hAnsi="宋体"/>
          <w:sz w:val="28"/>
          <w:szCs w:val="28"/>
          <w:b w:val="1"/>
          <w:bCs w:val="1"/>
          <w:color w:val="auto"/>
        </w:rPr>
        <w:t>，使得司法机关有权基于案件的特定事实和情形采取行为保全措施。</w:t>
      </w:r>
    </w:p>
    <w:p>
      <w:pPr>
        <w:spacing w:after="0" w:line="200" w:lineRule="exact"/>
        <w:rPr>
          <w:sz w:val="20"/>
          <w:szCs w:val="20"/>
          <w:color w:val="auto"/>
        </w:rPr>
      </w:pPr>
    </w:p>
    <w:p>
      <w:pPr>
        <w:spacing w:after="0" w:line="24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1.7</w:t>
      </w:r>
      <w:r>
        <w:rPr>
          <w:rFonts w:ascii="宋体" w:cs="宋体" w:eastAsia="宋体" w:hAnsi="宋体"/>
          <w:sz w:val="28"/>
          <w:szCs w:val="28"/>
          <w:b w:val="1"/>
          <w:bCs w:val="1"/>
          <w:color w:val="auto"/>
        </w:rPr>
        <w:t>条 启动刑事执法的门槛</w:t>
      </w:r>
    </w:p>
    <w:p>
      <w:pPr>
        <w:spacing w:after="0" w:line="200" w:lineRule="exact"/>
        <w:rPr>
          <w:sz w:val="20"/>
          <w:szCs w:val="20"/>
          <w:color w:val="auto"/>
        </w:rPr>
      </w:pPr>
    </w:p>
    <w:p>
      <w:pPr>
        <w:spacing w:after="0" w:line="259" w:lineRule="exact"/>
        <w:rPr>
          <w:sz w:val="20"/>
          <w:szCs w:val="20"/>
          <w:color w:val="auto"/>
        </w:rPr>
      </w:pPr>
    </w:p>
    <w:p>
      <w:pPr>
        <w:ind w:left="480" w:right="486" w:firstLine="562"/>
        <w:spacing w:after="0" w:line="412" w:lineRule="exact"/>
        <w:rPr>
          <w:sz w:val="20"/>
          <w:szCs w:val="20"/>
          <w:color w:val="auto"/>
        </w:rPr>
      </w:pPr>
      <w:r>
        <w:rPr>
          <w:rFonts w:ascii="宋体" w:cs="宋体" w:eastAsia="宋体" w:hAnsi="宋体"/>
          <w:sz w:val="28"/>
          <w:szCs w:val="28"/>
          <w:b w:val="1"/>
          <w:bCs w:val="1"/>
          <w:color w:val="auto"/>
        </w:rPr>
        <w:t>一、双方应取消任何将商业秘密权利人确定发生实际损失作为启动侵犯商业秘密刑事调查前提的要求。</w:t>
      </w:r>
    </w:p>
    <w:p>
      <w:pPr>
        <w:spacing w:after="0" w:line="200" w:lineRule="exact"/>
        <w:rPr>
          <w:sz w:val="20"/>
          <w:szCs w:val="20"/>
          <w:color w:val="auto"/>
        </w:rPr>
      </w:pPr>
    </w:p>
    <w:p>
      <w:pPr>
        <w:spacing w:after="0" w:line="286" w:lineRule="exact"/>
        <w:rPr>
          <w:sz w:val="20"/>
          <w:szCs w:val="20"/>
          <w:color w:val="auto"/>
        </w:rPr>
      </w:pPr>
    </w:p>
    <w:p>
      <w:pPr>
        <w:ind w:left="480" w:right="346" w:firstLine="562"/>
        <w:spacing w:after="0" w:line="507" w:lineRule="exact"/>
        <w:rPr>
          <w:sz w:val="20"/>
          <w:szCs w:val="20"/>
          <w:color w:val="auto"/>
        </w:rPr>
      </w:pPr>
      <w:r>
        <w:rPr>
          <w:rFonts w:ascii="宋体" w:cs="宋体" w:eastAsia="宋体" w:hAnsi="宋体"/>
          <w:sz w:val="28"/>
          <w:szCs w:val="28"/>
          <w:b w:val="1"/>
          <w:bCs w:val="1"/>
          <w:color w:val="auto"/>
        </w:rPr>
        <w:t>二、中国：（一）作为过渡措施，应澄清在相关法律的商业秘密条款中，作为刑事执法门槛的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重大损失</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可以由补救成本充分证明，例如为减轻对商业运营或计划的损害或重新保障计算机或其他系统安全所产生的成本，并显著降低启动刑事执法的所有门槛；以及（二）作为后续措施，应在可适用的所有措施中取消将商业秘密权利人确定发生实际损失作为启动侵犯商业秘密刑事调查前提的要求。</w:t>
      </w:r>
    </w:p>
    <w:p>
      <w:pPr>
        <w:spacing w:after="0" w:line="200" w:lineRule="exact"/>
        <w:rPr>
          <w:sz w:val="20"/>
          <w:szCs w:val="20"/>
          <w:color w:val="auto"/>
        </w:rPr>
      </w:pPr>
    </w:p>
    <w:p>
      <w:pPr>
        <w:spacing w:after="0" w:line="243"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1.8</w:t>
      </w:r>
      <w:r>
        <w:rPr>
          <w:rFonts w:ascii="宋体" w:cs="宋体" w:eastAsia="宋体" w:hAnsi="宋体"/>
          <w:sz w:val="28"/>
          <w:szCs w:val="28"/>
          <w:b w:val="1"/>
          <w:bCs w:val="1"/>
          <w:color w:val="auto"/>
        </w:rPr>
        <w:t>条 刑事程序和处罚</w:t>
      </w:r>
    </w:p>
    <w:p>
      <w:pPr>
        <w:spacing w:after="0" w:line="25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一、双方应规定刑事程序和处罚适用于对故意侵犯商业秘密的</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处理。</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1-4</w:t>
      </w:r>
    </w:p>
    <w:p>
      <w:pPr>
        <w:sectPr>
          <w:pgSz w:w="11900" w:h="16838" w:orient="portrait"/>
          <w:cols w:equalWidth="0" w:num="1">
            <w:col w:w="9026"/>
          </w:cols>
          <w:pgMar w:left="1440" w:top="1440" w:right="1440" w:bottom="435" w:gutter="0" w:footer="0" w:header="0"/>
          <w:type w:val="continuous"/>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二、中国的刑事程序和处罚应至少将出于非法目的，通过盗窃、</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欺诈、实体或电子入侵的形式侵犯商业秘密的行为，以及未经授权</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或不当使用计算机系统的行为列为禁止行为。</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1.9</w:t>
      </w:r>
      <w:r>
        <w:rPr>
          <w:rFonts w:ascii="宋体" w:cs="宋体" w:eastAsia="宋体" w:hAnsi="宋体"/>
          <w:sz w:val="28"/>
          <w:szCs w:val="28"/>
          <w:b w:val="1"/>
          <w:bCs w:val="1"/>
          <w:color w:val="auto"/>
        </w:rPr>
        <w:t>条 保护商业秘密和保密商务信息免于政府机构未经授权的</w:t>
      </w:r>
    </w:p>
    <w:p>
      <w:pPr>
        <w:spacing w:after="0" w:line="204"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披露</w:t>
      </w:r>
    </w:p>
    <w:p>
      <w:pPr>
        <w:spacing w:after="0" w:line="318" w:lineRule="exact"/>
        <w:rPr>
          <w:sz w:val="20"/>
          <w:szCs w:val="20"/>
          <w:color w:val="auto"/>
        </w:rPr>
      </w:pPr>
    </w:p>
    <w:p>
      <w:pPr>
        <w:jc w:val="both"/>
        <w:ind w:left="480" w:right="486" w:firstLine="562"/>
        <w:spacing w:after="0" w:line="478" w:lineRule="exact"/>
        <w:rPr>
          <w:sz w:val="20"/>
          <w:szCs w:val="20"/>
          <w:color w:val="auto"/>
        </w:rPr>
      </w:pPr>
      <w:r>
        <w:rPr>
          <w:rFonts w:ascii="宋体" w:cs="宋体" w:eastAsia="宋体" w:hAnsi="宋体"/>
          <w:sz w:val="28"/>
          <w:szCs w:val="28"/>
          <w:b w:val="1"/>
          <w:bCs w:val="1"/>
          <w:color w:val="auto"/>
        </w:rPr>
        <w:t>一、为进一步加强对商业秘密的保护，更好地鼓励各类企业创新，中国应禁止政府工作人员或第三方专家或顾问，未经授权披露在中央或地方政府层面刑事、民事、行政或监管程序中提交的未披露信息、商业秘密或保密商务信息。</w:t>
      </w:r>
    </w:p>
    <w:p>
      <w:pPr>
        <w:spacing w:after="0" w:line="319" w:lineRule="exact"/>
        <w:rPr>
          <w:sz w:val="20"/>
          <w:szCs w:val="20"/>
          <w:color w:val="auto"/>
        </w:rPr>
      </w:pPr>
    </w:p>
    <w:p>
      <w:pPr>
        <w:ind w:left="480" w:right="346" w:firstLine="562"/>
        <w:spacing w:after="0" w:line="518" w:lineRule="exact"/>
        <w:rPr>
          <w:sz w:val="20"/>
          <w:szCs w:val="20"/>
          <w:color w:val="auto"/>
        </w:rPr>
      </w:pPr>
      <w:r>
        <w:rPr>
          <w:rFonts w:ascii="宋体" w:cs="宋体" w:eastAsia="宋体" w:hAnsi="宋体"/>
          <w:sz w:val="28"/>
          <w:szCs w:val="28"/>
          <w:b w:val="1"/>
          <w:bCs w:val="1"/>
          <w:color w:val="auto"/>
        </w:rPr>
        <w:t>二、中国应要求各级行政机构和其他机构：（一）将提交信息的要求控制在合法实施调查或监管所需范围内；（二）将有权接触所提交信息的人员仅限于实施合法调查或监管的政府工作人员；（三）确保已提交信息的安全和保护；（四）确保与信息提交方有竞争关系，或与调查或监管结果有实际或可能经济利益关系的第三方专家或顾问，不得接触到此类信息；（五）建立申请豁免信息披露的程序，以及对向第三方披露信息提出异议的机制；（六）对未经授权披露商业秘密或保密商务信息的行为实施应阻遏此类未经授权披露的刑事、民事和行政处罚，包括罚金和停止或终止聘用，以及作为修订相关法律的最终措施一部分的监禁。</w:t>
      </w:r>
    </w:p>
    <w:p>
      <w:pPr>
        <w:spacing w:after="0" w:line="27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1-5</w:t>
      </w:r>
    </w:p>
    <w:p>
      <w:pPr>
        <w:sectPr>
          <w:pgSz w:w="11900" w:h="16838" w:orient="portrait"/>
          <w:cols w:equalWidth="0" w:num="1">
            <w:col w:w="9026"/>
          </w:cols>
          <w:pgMar w:left="1440" w:top="1440" w:right="1440" w:bottom="435" w:gutter="0" w:footer="0" w:header="0"/>
          <w:type w:val="continuous"/>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第三节 药品相关的知识产权</w:t>
      </w:r>
    </w:p>
    <w:p>
      <w:pPr>
        <w:spacing w:after="0" w:line="27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药品事关人民生命健康，寻找治疗和治愈疾病的新方法的需求</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持续存在，例如针对癌症、糖尿病、高血压和中风等。为促进中美</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双方在医药领域的创新与合作，更好满足患者需要，双方应为药品</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相关知识产权，包括专利以及为满足上市审批条件而提交的未经披</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露的试验数据或其他数据，提供有效保护和执法。</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1.10</w:t>
      </w:r>
      <w:r>
        <w:rPr>
          <w:rFonts w:ascii="宋体" w:cs="宋体" w:eastAsia="宋体" w:hAnsi="宋体"/>
          <w:sz w:val="28"/>
          <w:szCs w:val="28"/>
          <w:b w:val="1"/>
          <w:bCs w:val="1"/>
          <w:color w:val="auto"/>
        </w:rPr>
        <w:t>条 考虑补充数据</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一、中国应允许药品专利申请人在专利审查程序、专利复审程</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序和司法程序中，依靠补充数据来满足可专利性的相关要求，包括</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对公开充分和创造性的要求。</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1.11</w:t>
      </w:r>
      <w:r>
        <w:rPr>
          <w:rFonts w:ascii="宋体" w:cs="宋体" w:eastAsia="宋体" w:hAnsi="宋体"/>
          <w:sz w:val="28"/>
          <w:szCs w:val="28"/>
          <w:b w:val="1"/>
          <w:bCs w:val="1"/>
          <w:color w:val="auto"/>
        </w:rPr>
        <w:t>条 专利纠纷早期解决的有效机制</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一、作为批准包括生物药在内的药品上市的条件，如果中国允</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许原始提交安全性与有效性信息的人以外的其他人，依靠之前已经</w:t>
      </w:r>
    </w:p>
    <w:p>
      <w:pPr>
        <w:spacing w:after="0" w:line="237"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获批产品的安全性和有效性的证据或信息，例如在中国或其他国家、</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地区已获上市批准的证据，中国应：（一）规定制度，以通知专利</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权人、被许可人或上市许可持有人，上述其他人正在已获批产品或</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其获批使用方法所适用的专利有效期内寻求上市该产品；（二）规</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定足够的时间和机会，让该专利权人在被指控侵权的产品上市之前</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寻求（三）段中提供的救济；以及（三）规定司法或行政程序和快</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1-6</w:t>
      </w:r>
    </w:p>
    <w:p>
      <w:pPr>
        <w:sectPr>
          <w:pgSz w:w="11900" w:h="16838" w:orient="portrait"/>
          <w:cols w:equalWidth="0" w:num="1">
            <w:col w:w="9026"/>
          </w:cols>
          <w:pgMar w:left="1440" w:top="1440" w:right="1440" w:bottom="435"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480" w:right="486"/>
        <w:spacing w:after="0" w:line="456" w:lineRule="exact"/>
        <w:rPr>
          <w:sz w:val="20"/>
          <w:szCs w:val="20"/>
          <w:color w:val="auto"/>
        </w:rPr>
      </w:pPr>
      <w:r>
        <w:rPr>
          <w:rFonts w:ascii="宋体" w:cs="宋体" w:eastAsia="宋体" w:hAnsi="宋体"/>
          <w:sz w:val="28"/>
          <w:szCs w:val="28"/>
          <w:b w:val="1"/>
          <w:bCs w:val="1"/>
          <w:color w:val="auto"/>
        </w:rPr>
        <w:t>速救济，例如行为保全措施或与之相当的有效的临时措施，以便及时解决关于获批药品或其获批使用方法所适用的专利的有效性或侵权的纠纷。</w:t>
      </w:r>
    </w:p>
    <w:p>
      <w:pPr>
        <w:spacing w:after="0" w:line="319" w:lineRule="exact"/>
        <w:rPr>
          <w:sz w:val="20"/>
          <w:szCs w:val="20"/>
          <w:color w:val="auto"/>
        </w:rPr>
      </w:pPr>
    </w:p>
    <w:p>
      <w:pPr>
        <w:jc w:val="both"/>
        <w:ind w:left="480" w:right="486" w:firstLine="562"/>
        <w:spacing w:after="0" w:line="490" w:lineRule="exact"/>
        <w:rPr>
          <w:sz w:val="20"/>
          <w:szCs w:val="20"/>
          <w:color w:val="auto"/>
        </w:rPr>
      </w:pPr>
      <w:r>
        <w:rPr>
          <w:rFonts w:ascii="宋体" w:cs="宋体" w:eastAsia="宋体" w:hAnsi="宋体"/>
          <w:sz w:val="28"/>
          <w:szCs w:val="28"/>
          <w:b w:val="1"/>
          <w:bCs w:val="1"/>
          <w:color w:val="auto"/>
        </w:rPr>
        <w:t>二、中国应在全国范围内建立与上述第一段相符的药品相关制度，包括规定专利权人、被许可人或上市许可持有人有权在被指控侵权的产品获得上市许可前提起诉讼，就可适用专利的有效性或侵权的纠纷解决寻求民事司法程序和快速救济。中国还可提供行政程序解决此类纠纷。</w:t>
      </w:r>
    </w:p>
    <w:p>
      <w:pPr>
        <w:spacing w:after="0" w:line="28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第四节 专利</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1.12</w:t>
      </w:r>
      <w:r>
        <w:rPr>
          <w:rFonts w:ascii="宋体" w:cs="宋体" w:eastAsia="宋体" w:hAnsi="宋体"/>
          <w:sz w:val="28"/>
          <w:szCs w:val="28"/>
          <w:b w:val="1"/>
          <w:bCs w:val="1"/>
          <w:color w:val="auto"/>
        </w:rPr>
        <w:t>条 专利有效期的延长</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一、双方应规定延长专利有效期以补偿专利授权或药品上市审</w:t>
      </w:r>
    </w:p>
    <w:p>
      <w:pPr>
        <w:spacing w:after="0" w:line="22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批过程中的不合理延迟。</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二、（一）中国在专利权人的请求下，应延长专利的有效期，</w:t>
      </w:r>
    </w:p>
    <w:p>
      <w:pPr>
        <w:spacing w:after="0" w:line="267" w:lineRule="exact"/>
        <w:rPr>
          <w:sz w:val="20"/>
          <w:szCs w:val="20"/>
          <w:color w:val="auto"/>
        </w:rPr>
      </w:pPr>
    </w:p>
    <w:p>
      <w:pPr>
        <w:jc w:val="both"/>
        <w:ind w:left="480" w:right="486"/>
        <w:spacing w:after="0" w:line="463" w:lineRule="exact"/>
        <w:rPr>
          <w:sz w:val="20"/>
          <w:szCs w:val="20"/>
          <w:color w:val="auto"/>
        </w:rPr>
      </w:pPr>
      <w:r>
        <w:rPr>
          <w:rFonts w:ascii="宋体" w:cs="宋体" w:eastAsia="宋体" w:hAnsi="宋体"/>
          <w:sz w:val="27"/>
          <w:szCs w:val="27"/>
          <w:b w:val="1"/>
          <w:bCs w:val="1"/>
          <w:color w:val="auto"/>
        </w:rPr>
        <w:t>以补偿在专利授权过程中并非由申请人引起的不合理延迟。就本条规定而言，不合理延迟应至少包含，自在中国提交申请之日起</w:t>
      </w:r>
      <w:r>
        <w:rPr>
          <w:rFonts w:ascii="Times New Roman" w:cs="Times New Roman" w:eastAsia="Times New Roman" w:hAnsi="Times New Roman"/>
          <w:sz w:val="27"/>
          <w:szCs w:val="27"/>
          <w:b w:val="1"/>
          <w:bCs w:val="1"/>
          <w:color w:val="auto"/>
        </w:rPr>
        <w:t>4</w:t>
      </w:r>
      <w:r>
        <w:rPr>
          <w:rFonts w:ascii="宋体" w:cs="宋体" w:eastAsia="宋体" w:hAnsi="宋体"/>
          <w:sz w:val="27"/>
          <w:szCs w:val="27"/>
          <w:b w:val="1"/>
          <w:bCs w:val="1"/>
          <w:color w:val="auto"/>
        </w:rPr>
        <w:t>年内或要求审查申请后</w:t>
      </w:r>
      <w:r>
        <w:rPr>
          <w:rFonts w:ascii="Times New Roman" w:cs="Times New Roman" w:eastAsia="Times New Roman" w:hAnsi="Times New Roman"/>
          <w:sz w:val="27"/>
          <w:szCs w:val="27"/>
          <w:b w:val="1"/>
          <w:bCs w:val="1"/>
          <w:color w:val="auto"/>
        </w:rPr>
        <w:t>3</w:t>
      </w:r>
      <w:r>
        <w:rPr>
          <w:rFonts w:ascii="宋体" w:cs="宋体" w:eastAsia="宋体" w:hAnsi="宋体"/>
          <w:sz w:val="27"/>
          <w:szCs w:val="27"/>
          <w:b w:val="1"/>
          <w:bCs w:val="1"/>
          <w:color w:val="auto"/>
        </w:rPr>
        <w:t>年内未被授予专利权，以较晚日期为准。</w:t>
      </w:r>
    </w:p>
    <w:p>
      <w:pPr>
        <w:spacing w:after="0" w:line="25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（二）对于在中国获批上市的新药产品及其制造和使用方法的</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专利，应专利权人的请求，中国应对新药产品专利、其获批使用方</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法或制造方法的专利有效期或专利权有效期提供调整，以补偿由该</w:t>
      </w:r>
    </w:p>
    <w:p>
      <w:pPr>
        <w:spacing w:after="0" w:line="225"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产品首次在中国商用的上市审批程序给专利权人造成的专利有效</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1-7</w:t>
      </w:r>
    </w:p>
    <w:p>
      <w:pPr>
        <w:sectPr>
          <w:pgSz w:w="11900" w:h="16838" w:orient="portrait"/>
          <w:cols w:equalWidth="0" w:num="1">
            <w:col w:w="9026"/>
          </w:cols>
          <w:pgMar w:left="1440" w:top="1440" w:right="1440" w:bottom="435"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期的不合理缩减。任何此种调整都应在同等的限制和例外条件下，</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授予原专利中适用于获批产品及使用方法的对产品、其使用方法或</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制造方法的专利主张的全部专有权。中国可限制这种调整至最多不</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超过</w:t>
      </w:r>
      <w:r>
        <w:rPr>
          <w:rFonts w:ascii="Times New Roman" w:cs="Times New Roman" w:eastAsia="Times New Roman" w:hAnsi="Times New Roman"/>
          <w:sz w:val="28"/>
          <w:szCs w:val="28"/>
          <w:b w:val="1"/>
          <w:bCs w:val="1"/>
          <w:color w:val="auto"/>
        </w:rPr>
        <w:t>5</w:t>
      </w:r>
      <w:r>
        <w:rPr>
          <w:rFonts w:ascii="宋体" w:cs="宋体" w:eastAsia="宋体" w:hAnsi="宋体"/>
          <w:sz w:val="28"/>
          <w:szCs w:val="28"/>
          <w:b w:val="1"/>
          <w:bCs w:val="1"/>
          <w:color w:val="auto"/>
        </w:rPr>
        <w:t>年，且自在中国上市批准日起专利总有效期不超过</w:t>
      </w:r>
      <w:r>
        <w:rPr>
          <w:rFonts w:ascii="Times New Roman" w:cs="Times New Roman" w:eastAsia="Times New Roman" w:hAnsi="Times New Roman"/>
          <w:sz w:val="28"/>
          <w:szCs w:val="28"/>
          <w:b w:val="1"/>
          <w:bCs w:val="1"/>
          <w:color w:val="auto"/>
        </w:rPr>
        <w:t>14</w:t>
      </w:r>
      <w:r>
        <w:rPr>
          <w:rFonts w:ascii="宋体" w:cs="宋体" w:eastAsia="宋体" w:hAnsi="宋体"/>
          <w:sz w:val="28"/>
          <w:szCs w:val="28"/>
          <w:b w:val="1"/>
          <w:bCs w:val="1"/>
          <w:color w:val="auto"/>
        </w:rPr>
        <w:t>年。</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4"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第五节 电子商务平台上的盗版与假冒</w:t>
      </w:r>
    </w:p>
    <w:p>
      <w:pPr>
        <w:spacing w:after="0" w:line="318" w:lineRule="exact"/>
        <w:rPr>
          <w:sz w:val="20"/>
          <w:szCs w:val="20"/>
          <w:color w:val="auto"/>
        </w:rPr>
      </w:pPr>
    </w:p>
    <w:p>
      <w:pPr>
        <w:ind w:left="480" w:right="346" w:firstLine="562"/>
        <w:spacing w:after="0" w:line="478" w:lineRule="exact"/>
        <w:rPr>
          <w:sz w:val="20"/>
          <w:szCs w:val="20"/>
          <w:color w:val="auto"/>
        </w:rPr>
      </w:pPr>
      <w:r>
        <w:rPr>
          <w:rFonts w:ascii="宋体" w:cs="宋体" w:eastAsia="宋体" w:hAnsi="宋体"/>
          <w:sz w:val="28"/>
          <w:szCs w:val="28"/>
          <w:b w:val="1"/>
          <w:bCs w:val="1"/>
          <w:color w:val="auto"/>
        </w:rPr>
        <w:t>为促进电子商务的发展，中国与美国应加强合作，共同并各自打击电子商务市场的侵权假冒行为。双方应减少可能存在的壁垒，使消费者及时获取合法内容，并使合法内容得到著作权保护，同时，对电商平台提供有效执法，从而减少盗版和假冒。</w:t>
      </w:r>
    </w:p>
    <w:p>
      <w:pPr>
        <w:spacing w:after="0" w:line="278"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1.13</w:t>
      </w:r>
      <w:r>
        <w:rPr>
          <w:rFonts w:ascii="宋体" w:cs="宋体" w:eastAsia="宋体" w:hAnsi="宋体"/>
          <w:sz w:val="28"/>
          <w:szCs w:val="28"/>
          <w:b w:val="1"/>
          <w:bCs w:val="1"/>
          <w:color w:val="auto"/>
        </w:rPr>
        <w:t>条 打击网络侵权</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一、中国应提供执法程序，使得权利人能够针对网络环境下的</w:t>
      </w:r>
    </w:p>
    <w:p>
      <w:pPr>
        <w:spacing w:after="0" w:line="22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侵权行为采取有效、迅速的行动，包括有效的通知及下架制度，以</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应对侵权。</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二、中国应：（一）要求迅速下架；（二）免除善意提交错误</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下架通知的责任；（三）将权利人收到反通知后提出司法或行政投</w:t>
      </w:r>
    </w:p>
    <w:p>
      <w:pPr>
        <w:spacing w:after="0" w:line="238" w:lineRule="exact"/>
        <w:rPr>
          <w:sz w:val="20"/>
          <w:szCs w:val="20"/>
          <w:color w:val="auto"/>
        </w:rPr>
      </w:pPr>
    </w:p>
    <w:p>
      <w:pPr>
        <w:jc w:val="center"/>
        <w:ind w:right="6"/>
        <w:spacing w:after="0" w:line="329" w:lineRule="exact"/>
        <w:rPr>
          <w:sz w:val="20"/>
          <w:szCs w:val="20"/>
          <w:color w:val="auto"/>
        </w:rPr>
      </w:pPr>
      <w:r>
        <w:rPr>
          <w:rFonts w:ascii="宋体" w:cs="宋体" w:eastAsia="宋体" w:hAnsi="宋体"/>
          <w:sz w:val="27"/>
          <w:szCs w:val="27"/>
          <w:b w:val="1"/>
          <w:bCs w:val="1"/>
          <w:color w:val="auto"/>
        </w:rPr>
        <w:t>诉的期限延长至</w:t>
      </w:r>
      <w:r>
        <w:rPr>
          <w:rFonts w:ascii="Times New Roman" w:cs="Times New Roman" w:eastAsia="Times New Roman" w:hAnsi="Times New Roman"/>
          <w:sz w:val="27"/>
          <w:szCs w:val="27"/>
          <w:b w:val="1"/>
          <w:bCs w:val="1"/>
          <w:color w:val="auto"/>
        </w:rPr>
        <w:t>20</w:t>
      </w:r>
      <w:r>
        <w:rPr>
          <w:rFonts w:ascii="宋体" w:cs="宋体" w:eastAsia="宋体" w:hAnsi="宋体"/>
          <w:sz w:val="27"/>
          <w:szCs w:val="27"/>
          <w:b w:val="1"/>
          <w:bCs w:val="1"/>
          <w:color w:val="auto"/>
        </w:rPr>
        <w:t>个工作日；（四）通过要求通知和反通知提交相</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关信息，以及对恶意提交通知和反通知进行处罚，以确保下架通知</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和反通知的有效性。</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三、美国确认，美国现行执法程序允许权利人采取行动，应对</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网络环境下的侵权。</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1-8</w:t>
      </w:r>
    </w:p>
    <w:p>
      <w:pPr>
        <w:sectPr>
          <w:pgSz w:w="11900" w:h="16838" w:orient="portrait"/>
          <w:cols w:equalWidth="0" w:num="1">
            <w:col w:w="9026"/>
          </w:cols>
          <w:pgMar w:left="1440" w:top="1440" w:right="1440" w:bottom="435" w:gutter="0" w:footer="0" w:header="0"/>
          <w:type w:val="continuous"/>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四、双方同意考虑在合适的情况下进一步合作，以打击网络侵</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权。</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1.14</w:t>
      </w:r>
      <w:r>
        <w:rPr>
          <w:rFonts w:ascii="宋体" w:cs="宋体" w:eastAsia="宋体" w:hAnsi="宋体"/>
          <w:sz w:val="28"/>
          <w:szCs w:val="28"/>
          <w:b w:val="1"/>
          <w:bCs w:val="1"/>
          <w:color w:val="auto"/>
        </w:rPr>
        <w:t>条 主要电子商务平台上的侵权</w:t>
      </w:r>
    </w:p>
    <w:p>
      <w:pPr>
        <w:spacing w:after="0" w:line="251"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一、针对未能采取必要措施整治知识产权侵权的主要电子商务</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平台，双方应采取有效行动，打击平台上泛滥的假冒或盗版商品。</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二、中国应规定屡次未能遏制假冒或盗版商品销售的电子商务</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平台可能被吊销网络经营许可。</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三、美国确认，美国正在研究采取更多举措，打击假冒或盗版</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商品的销售。</w:t>
      </w:r>
    </w:p>
    <w:p>
      <w:pPr>
        <w:spacing w:after="0" w:line="27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第六节 地理标志</w:t>
      </w:r>
    </w:p>
    <w:p>
      <w:pPr>
        <w:spacing w:after="0" w:line="27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双方应确保地理标志的保护实现完全透明和程序公平，包括保</w:t>
      </w:r>
    </w:p>
    <w:p>
      <w:pPr>
        <w:spacing w:after="0" w:line="207" w:lineRule="exact"/>
        <w:rPr>
          <w:sz w:val="20"/>
          <w:szCs w:val="20"/>
          <w:color w:val="auto"/>
        </w:rPr>
      </w:pPr>
    </w:p>
    <w:p>
      <w:pPr>
        <w:ind w:left="480"/>
        <w:spacing w:after="0" w:line="438" w:lineRule="exact"/>
        <w:rPr>
          <w:sz w:val="20"/>
          <w:szCs w:val="20"/>
          <w:color w:val="auto"/>
        </w:rPr>
      </w:pPr>
      <w:r>
        <w:rPr>
          <w:rFonts w:ascii="宋体" w:cs="宋体" w:eastAsia="宋体" w:hAnsi="宋体"/>
          <w:sz w:val="28"/>
          <w:szCs w:val="28"/>
          <w:b w:val="1"/>
          <w:bCs w:val="1"/>
          <w:color w:val="auto"/>
        </w:rPr>
        <w:t>护通用名称</w:t>
      </w:r>
      <w:r>
        <w:rPr>
          <w:rFonts w:ascii="Times New Roman" w:cs="Times New Roman" w:eastAsia="Times New Roman" w:hAnsi="Times New Roman"/>
          <w:sz w:val="36"/>
          <w:szCs w:val="36"/>
          <w:b w:val="1"/>
          <w:bCs w:val="1"/>
          <w:color w:val="auto"/>
          <w:vertAlign w:val="superscript"/>
        </w:rPr>
        <w:t>2</w:t>
      </w:r>
      <w:r>
        <w:rPr>
          <w:rFonts w:ascii="宋体" w:cs="宋体" w:eastAsia="宋体" w:hAnsi="宋体"/>
          <w:sz w:val="28"/>
          <w:szCs w:val="28"/>
          <w:b w:val="1"/>
          <w:bCs w:val="1"/>
          <w:color w:val="auto"/>
        </w:rPr>
        <w:t>（即常用名称）、尊重在先的商标权、明确的允许提</w:t>
      </w:r>
    </w:p>
    <w:p>
      <w:pPr>
        <w:spacing w:after="0" w:line="1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出异议和撤销的程序，以及为依赖商标或使用通用名称的对方的出</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口产品提供公平的市场准入。</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1.15</w:t>
      </w:r>
      <w:r>
        <w:rPr>
          <w:rFonts w:ascii="宋体" w:cs="宋体" w:eastAsia="宋体" w:hAnsi="宋体"/>
          <w:sz w:val="28"/>
          <w:szCs w:val="28"/>
          <w:b w:val="1"/>
          <w:bCs w:val="1"/>
          <w:color w:val="auto"/>
        </w:rPr>
        <w:t>条 地理标志和国际协议</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一、中国应确保针对其他贸易伙伴依据一项国际协定已提出或</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将要提出的关于承认或保护地理标志的请求所采取的任何措施，不</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会减损使用商标和通用名称出口至中国的美国货物和服务的市场</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准入。</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二、中国应给予包括美国在内的贸易伙伴必要机会，以对中国</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309245</wp:posOffset>
                </wp:positionH>
                <wp:positionV relativeFrom="paragraph">
                  <wp:posOffset>404495</wp:posOffset>
                </wp:positionV>
                <wp:extent cx="182943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1066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5pt,31.85pt" to="168.4pt,31.85pt" o:allowincell="f" strokecolor="#000000" strokeweight="0.84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ind w:left="480" w:right="486" w:firstLine="8"/>
        <w:spacing w:after="0" w:line="272" w:lineRule="exact"/>
        <w:tabs>
          <w:tab w:leader="none" w:pos="643" w:val="left"/>
        </w:tabs>
        <w:numPr>
          <w:ilvl w:val="0"/>
          <w:numId w:val="2"/>
        </w:numPr>
        <w:rPr>
          <w:rFonts w:ascii="Times New Roman" w:cs="Times New Roman" w:eastAsia="Times New Roman" w:hAnsi="Times New Roman"/>
          <w:sz w:val="32"/>
          <w:szCs w:val="32"/>
          <w:b w:val="1"/>
          <w:bCs w:val="1"/>
          <w:color w:val="auto"/>
          <w:vertAlign w:val="superscript"/>
        </w:rPr>
      </w:pPr>
      <w:r>
        <w:rPr>
          <w:rFonts w:ascii="宋体" w:cs="宋体" w:eastAsia="宋体" w:hAnsi="宋体"/>
          <w:sz w:val="24"/>
          <w:szCs w:val="24"/>
          <w:b w:val="1"/>
          <w:bCs w:val="1"/>
          <w:color w:val="auto"/>
        </w:rPr>
        <w:t>一方可将</w:t>
      </w:r>
      <w:r>
        <w:rPr>
          <w:rFonts w:ascii="Arial" w:cs="Arial" w:eastAsia="Arial" w:hAnsi="Arial"/>
          <w:sz w:val="24"/>
          <w:szCs w:val="24"/>
          <w:b w:val="1"/>
          <w:bCs w:val="1"/>
          <w:color w:val="auto"/>
        </w:rPr>
        <w:t>“</w:t>
      </w:r>
      <w:r>
        <w:rPr>
          <w:rFonts w:ascii="宋体" w:cs="宋体" w:eastAsia="宋体" w:hAnsi="宋体"/>
          <w:sz w:val="24"/>
          <w:szCs w:val="24"/>
          <w:b w:val="1"/>
          <w:bCs w:val="1"/>
          <w:color w:val="auto"/>
        </w:rPr>
        <w:t>通用</w:t>
      </w:r>
      <w:r>
        <w:rPr>
          <w:rFonts w:ascii="Arial" w:cs="Arial" w:eastAsia="Arial" w:hAnsi="Arial"/>
          <w:sz w:val="24"/>
          <w:szCs w:val="24"/>
          <w:b w:val="1"/>
          <w:bCs w:val="1"/>
          <w:color w:val="auto"/>
        </w:rPr>
        <w:t>”</w:t>
      </w:r>
      <w:r>
        <w:rPr>
          <w:rFonts w:ascii="宋体" w:cs="宋体" w:eastAsia="宋体" w:hAnsi="宋体"/>
          <w:sz w:val="24"/>
          <w:szCs w:val="24"/>
          <w:b w:val="1"/>
          <w:bCs w:val="1"/>
          <w:color w:val="auto"/>
        </w:rPr>
        <w:t>这一术语视为与</w:t>
      </w:r>
      <w:r>
        <w:rPr>
          <w:rFonts w:ascii="Arial" w:cs="Arial" w:eastAsia="Arial" w:hAnsi="Arial"/>
          <w:sz w:val="24"/>
          <w:szCs w:val="24"/>
          <w:b w:val="1"/>
          <w:bCs w:val="1"/>
          <w:color w:val="auto"/>
        </w:rPr>
        <w:t>“</w:t>
      </w:r>
      <w:r>
        <w:rPr>
          <w:rFonts w:ascii="宋体" w:cs="宋体" w:eastAsia="宋体" w:hAnsi="宋体"/>
          <w:sz w:val="24"/>
          <w:szCs w:val="24"/>
          <w:b w:val="1"/>
          <w:bCs w:val="1"/>
          <w:color w:val="auto"/>
        </w:rPr>
        <w:t>在通用语言中，惯用于相关货物的常用名称</w:t>
      </w:r>
      <w:r>
        <w:rPr>
          <w:rFonts w:ascii="Arial" w:cs="Arial" w:eastAsia="Arial" w:hAnsi="Arial"/>
          <w:sz w:val="24"/>
          <w:szCs w:val="24"/>
          <w:b w:val="1"/>
          <w:bCs w:val="1"/>
          <w:color w:val="auto"/>
        </w:rPr>
        <w:t>”</w:t>
      </w:r>
      <w:r>
        <w:rPr>
          <w:rFonts w:ascii="宋体" w:cs="宋体" w:eastAsia="宋体" w:hAnsi="宋体"/>
          <w:sz w:val="24"/>
          <w:szCs w:val="24"/>
          <w:b w:val="1"/>
          <w:bCs w:val="1"/>
          <w:color w:val="auto"/>
        </w:rPr>
        <w:t>同义。</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1-9</w:t>
      </w:r>
    </w:p>
    <w:p>
      <w:pPr>
        <w:sectPr>
          <w:pgSz w:w="11900" w:h="16838" w:orient="portrait"/>
          <w:cols w:equalWidth="0" w:num="1">
            <w:col w:w="9026"/>
          </w:cols>
          <w:pgMar w:left="1440" w:top="1440" w:right="1440" w:bottom="435" w:gutter="0" w:footer="0" w:header="0"/>
          <w:type w:val="continuous"/>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与其他贸易伙伴协议的清单、附录、附件或附函中所列举的地理标</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志提出异议。</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1.16</w:t>
      </w:r>
      <w:r>
        <w:rPr>
          <w:rFonts w:ascii="宋体" w:cs="宋体" w:eastAsia="宋体" w:hAnsi="宋体"/>
          <w:sz w:val="28"/>
          <w:szCs w:val="28"/>
          <w:b w:val="1"/>
          <w:bCs w:val="1"/>
          <w:color w:val="auto"/>
        </w:rPr>
        <w:t>条 一般市场准入相关的地理标志问题</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一、中国应确保：（一）主管部门在确定某一名称在中国是否</w:t>
      </w:r>
    </w:p>
    <w:p>
      <w:pPr>
        <w:spacing w:after="0" w:line="237"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为通用名称时，考虑中国消费者如何理解这一名称，包括以下因素：</w:t>
      </w:r>
    </w:p>
    <w:p>
      <w:pPr>
        <w:spacing w:after="0" w:line="226"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字典、报纸和相关网站等可信来源；</w:t>
      </w: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该名称所指的货物在中国</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营销和在贸易中如何使用；</w:t>
      </w: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该名称是否在合适的情况下，在相关</w:t>
      </w:r>
    </w:p>
    <w:p>
      <w:pPr>
        <w:spacing w:after="0" w:line="215"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标准中被使用以对应中国的一种类型或类别的货物，例如根据食品</w:t>
      </w:r>
    </w:p>
    <w:p>
      <w:pPr>
        <w:spacing w:after="0" w:line="226"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法典委员会颁布的标准；</w:t>
      </w: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有关货物是否从申请书或请求书中所表</w:t>
      </w:r>
    </w:p>
    <w:p>
      <w:pPr>
        <w:spacing w:after="0" w:line="215"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明地域之外的地方大量进口至中国，且不会以在货物原产地方面误</w:t>
      </w:r>
    </w:p>
    <w:p>
      <w:pPr>
        <w:spacing w:after="0" w:line="237"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导公众的方式进行，以及这些进口货物是否以该名称命名；且（二）</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任何地理标志，无论是否根据国际协议或其他方式被授予或承认，</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都可能随时间推移而变成通用名称，并可能因此被撤销。</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1.17</w:t>
      </w:r>
      <w:r>
        <w:rPr>
          <w:rFonts w:ascii="宋体" w:cs="宋体" w:eastAsia="宋体" w:hAnsi="宋体"/>
          <w:sz w:val="28"/>
          <w:szCs w:val="28"/>
          <w:b w:val="1"/>
          <w:bCs w:val="1"/>
          <w:color w:val="auto"/>
        </w:rPr>
        <w:t>条 复合名称</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一、双方应确保，如果受到一方地理标志保护的复合名称中的</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单独组成部分是通用名称，该部分应不受该方地理标志保护。</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二、当中国向复合名称提供地理标志保护时，如该复合名称中</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有不予保护的单独组成部分，应公开列明。</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1-10</w:t>
      </w:r>
    </w:p>
    <w:p>
      <w:pPr>
        <w:sectPr>
          <w:pgSz w:w="11900" w:h="16838" w:orient="portrait"/>
          <w:cols w:equalWidth="0" w:num="1">
            <w:col w:w="9026"/>
          </w:cols>
          <w:pgMar w:left="1440" w:top="1440" w:right="1440" w:bottom="435" w:gutter="0" w:footer="0" w:header="0"/>
          <w:type w:val="continuous"/>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三、美国确认，美国现行措施给予与本条款规定内容同等的待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第七节 盗版和假冒产品的生产和出口</w:t>
      </w:r>
    </w:p>
    <w:p>
      <w:pPr>
        <w:spacing w:after="0" w:line="285"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盗版和假冒产品严重危害公众的利益，并且伤害中美两国权利</w:t>
      </w:r>
    </w:p>
    <w:p>
      <w:pPr>
        <w:spacing w:after="0" w:line="237"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人。双方应采取持续、有效的行动，阻止假冒和盗版产品的生产和</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分销，包括对公共卫生或个人安全产生重大影响的产品。</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1.18</w:t>
      </w:r>
      <w:r>
        <w:rPr>
          <w:rFonts w:ascii="宋体" w:cs="宋体" w:eastAsia="宋体" w:hAnsi="宋体"/>
          <w:sz w:val="28"/>
          <w:szCs w:val="28"/>
          <w:b w:val="1"/>
          <w:bCs w:val="1"/>
          <w:color w:val="auto"/>
        </w:rPr>
        <w:t>条 假冒药</w:t>
      </w:r>
    </w:p>
    <w:p>
      <w:pPr>
        <w:spacing w:after="0" w:line="265"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一、双方应采取有效和迅速的执法行动，打击假冒药品和包含</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活性药物成分、散装化学品或生物制品的相关产品。</w:t>
      </w:r>
    </w:p>
    <w:p>
      <w:pPr>
        <w:spacing w:after="0" w:line="287"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二、中国应采取的措施包括：（一）采取有效和迅速的执法行</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动，打击假冒药品和生物药的相关产品，包括活性药物成分、散装</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化学品和生物制品；（二）与美国分享经中国监管部门检查，并符</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合中国法律法规要求的药品原料场地注册信息，以及相关执法检查</w:t>
      </w:r>
    </w:p>
    <w:p>
      <w:pPr>
        <w:spacing w:after="0" w:line="22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的必要信息；（三）在本协议生效后</w:t>
      </w:r>
      <w:r>
        <w:rPr>
          <w:rFonts w:ascii="Times New Roman" w:cs="Times New Roman" w:eastAsia="Times New Roman" w:hAnsi="Times New Roman"/>
          <w:sz w:val="28"/>
          <w:szCs w:val="28"/>
          <w:b w:val="1"/>
          <w:bCs w:val="1"/>
          <w:color w:val="auto"/>
        </w:rPr>
        <w:t>6</w:t>
      </w:r>
      <w:r>
        <w:rPr>
          <w:rFonts w:ascii="宋体" w:cs="宋体" w:eastAsia="宋体" w:hAnsi="宋体"/>
          <w:sz w:val="28"/>
          <w:szCs w:val="28"/>
          <w:b w:val="1"/>
          <w:bCs w:val="1"/>
          <w:color w:val="auto"/>
        </w:rPr>
        <w:t>个月内，每年在网上发布执</w:t>
      </w:r>
    </w:p>
    <w:p>
      <w:pPr>
        <w:spacing w:after="0" w:line="215"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法措施的相关数据，包括国家药品监督管理局、工业和信息化部或</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继任机构查缴、吊销营业执照、罚款和其他行动的情况。</w:t>
      </w:r>
    </w:p>
    <w:p>
      <w:pPr>
        <w:spacing w:after="0" w:line="287"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三、美国确认，美国现行措施可以快速、有效地打击假冒药品</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及相关产品。</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1.19</w:t>
      </w:r>
      <w:r>
        <w:rPr>
          <w:rFonts w:ascii="宋体" w:cs="宋体" w:eastAsia="宋体" w:hAnsi="宋体"/>
          <w:sz w:val="28"/>
          <w:szCs w:val="28"/>
          <w:b w:val="1"/>
          <w:bCs w:val="1"/>
          <w:color w:val="auto"/>
        </w:rPr>
        <w:t>条 存在健康和安全风险的假冒商品</w:t>
      </w:r>
    </w:p>
    <w:p>
      <w:pPr>
        <w:spacing w:after="0" w:line="265"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一、双方应确保持续和有效的行动，阻止对公共卫生或个人安</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全产生重大影响的假冒产品的生产和分销。</w:t>
      </w:r>
    </w:p>
    <w:p>
      <w:pPr>
        <w:spacing w:after="0" w:line="274"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二、中国应采取的措施包括，在本协议生效后</w:t>
      </w: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个月内，显著</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1-11</w:t>
      </w:r>
    </w:p>
    <w:p>
      <w:pPr>
        <w:sectPr>
          <w:pgSz w:w="11900" w:h="16838" w:orient="portrait"/>
          <w:cols w:equalWidth="0" w:num="1">
            <w:col w:w="9026"/>
          </w:cols>
          <w:pgMar w:left="1440" w:top="1440" w:right="1440" w:bottom="435" w:gutter="0" w:footer="0" w:header="0"/>
          <w:type w:val="continuous"/>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增加执法行动数量；在本协议生效后</w:t>
      </w: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个月内，每季度在网上发布</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相关执法行动产生的可衡量影响的数据。</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三、双方应致力于考虑在合适的情况下加强合作，打击存在健</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康和安全风险的假冒商品。</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1.20</w:t>
      </w:r>
      <w:r>
        <w:rPr>
          <w:rFonts w:ascii="宋体" w:cs="宋体" w:eastAsia="宋体" w:hAnsi="宋体"/>
          <w:sz w:val="28"/>
          <w:szCs w:val="28"/>
          <w:b w:val="1"/>
          <w:bCs w:val="1"/>
          <w:color w:val="auto"/>
        </w:rPr>
        <w:t>条 销毁假冒商品</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一、在边境措施上，双方应规定：（一）除特殊情况外，销毁</w:t>
      </w:r>
    </w:p>
    <w:p>
      <w:pPr>
        <w:spacing w:after="0" w:line="22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被当地海关以假冒或盗版为由中止放行并作为盗版或假冒商品查</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封和没收的商品；（二）仅去除非法附着的假冒商标不足以允许该</w:t>
      </w:r>
    </w:p>
    <w:p>
      <w:pPr>
        <w:spacing w:after="0" w:line="258" w:lineRule="exact"/>
        <w:rPr>
          <w:sz w:val="20"/>
          <w:szCs w:val="20"/>
          <w:color w:val="auto"/>
        </w:rPr>
      </w:pPr>
    </w:p>
    <w:p>
      <w:pPr>
        <w:jc w:val="both"/>
        <w:ind w:left="480" w:right="486"/>
        <w:spacing w:after="0" w:line="416" w:lineRule="exact"/>
        <w:rPr>
          <w:sz w:val="20"/>
          <w:szCs w:val="20"/>
          <w:color w:val="auto"/>
        </w:rPr>
      </w:pPr>
      <w:r>
        <w:rPr>
          <w:rFonts w:ascii="宋体" w:cs="宋体" w:eastAsia="宋体" w:hAnsi="宋体"/>
          <w:sz w:val="28"/>
          <w:szCs w:val="28"/>
          <w:b w:val="1"/>
          <w:bCs w:val="1"/>
          <w:color w:val="auto"/>
        </w:rPr>
        <w:t>商品进入商业渠道</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（三）除特殊情况外，主管部门在任何情况下均无裁量权允许假冒或盗版商品出口或进入其他海关程序。</w:t>
      </w:r>
    </w:p>
    <w:p>
      <w:pPr>
        <w:spacing w:after="0" w:line="318" w:lineRule="exact"/>
        <w:rPr>
          <w:sz w:val="20"/>
          <w:szCs w:val="20"/>
          <w:color w:val="auto"/>
        </w:rPr>
      </w:pPr>
    </w:p>
    <w:p>
      <w:pPr>
        <w:jc w:val="both"/>
        <w:ind w:left="480" w:right="486" w:firstLine="562"/>
        <w:spacing w:after="0" w:line="514" w:lineRule="exact"/>
        <w:rPr>
          <w:sz w:val="20"/>
          <w:szCs w:val="20"/>
          <w:color w:val="auto"/>
        </w:rPr>
      </w:pPr>
      <w:r>
        <w:rPr>
          <w:rFonts w:ascii="宋体" w:cs="宋体" w:eastAsia="宋体" w:hAnsi="宋体"/>
          <w:sz w:val="28"/>
          <w:szCs w:val="28"/>
          <w:b w:val="1"/>
          <w:bCs w:val="1"/>
          <w:color w:val="auto"/>
        </w:rPr>
        <w:t>二、关于民事司法程序，双方应规定：（一）根据权利人的请求，除特殊情况外，应销毁认定为假冒或盗版的商品；（二）根据权利人的请求，司法部门应责令立即销毁主要用于生产或制造假冒或盗版商品的材料和工具，且不予任何补偿；或在特殊情况下，将这些商品在商业渠道之外进行处置，且不予任何补偿，以最小化进一步侵权的风险；（三）仅去除非法附着的假冒商标不足以允许该商品进入商业渠道；（四）司法部门应根据权利人的请求，责令假冒者向权利人支付因侵权获得的利益，或支付足以弥补侵权损失的赔偿金。</w:t>
      </w:r>
    </w:p>
    <w:p>
      <w:pPr>
        <w:spacing w:after="0" w:line="329" w:lineRule="exact"/>
        <w:rPr>
          <w:sz w:val="20"/>
          <w:szCs w:val="20"/>
          <w:color w:val="auto"/>
        </w:rPr>
      </w:pPr>
    </w:p>
    <w:p>
      <w:pPr>
        <w:jc w:val="both"/>
        <w:ind w:left="480" w:right="346" w:firstLine="562"/>
        <w:spacing w:after="0" w:line="456" w:lineRule="exact"/>
        <w:rPr>
          <w:sz w:val="20"/>
          <w:szCs w:val="20"/>
          <w:color w:val="auto"/>
        </w:rPr>
      </w:pPr>
      <w:r>
        <w:rPr>
          <w:rFonts w:ascii="宋体" w:cs="宋体" w:eastAsia="宋体" w:hAnsi="宋体"/>
          <w:sz w:val="28"/>
          <w:szCs w:val="28"/>
          <w:b w:val="1"/>
          <w:bCs w:val="1"/>
          <w:color w:val="auto"/>
        </w:rPr>
        <w:t>三、关于刑事执法程序，双方应规定：（一）除特殊情况外，司法部门应责令没收和销毁所有假冒或盗版商品，以及包含可用于附着在商品上的假冒标识的物品；（二）除特殊情况外，司法部门</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1-12</w:t>
      </w:r>
    </w:p>
    <w:p>
      <w:pPr>
        <w:sectPr>
          <w:pgSz w:w="11900" w:h="16838" w:orient="portrait"/>
          <w:cols w:equalWidth="0" w:num="1">
            <w:col w:w="9026"/>
          </w:cols>
          <w:pgMar w:left="1440" w:top="1440" w:right="1440" w:bottom="435" w:gutter="0" w:footer="0" w:header="0"/>
          <w:type w:val="continuous"/>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应责令没收和销毁主要用于制造假冒或盗版商品的材料和工具；</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（三）对于没收和销毁，不应对被告提供任何形式的补偿；（四）</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司法部门或其他主管部门应保存拟销毁商品及其他材料的清单，并</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有裁量权在收到权利人通知其希望对被告或第三方侵权人提起民</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事或行政诉讼时，暂时将这些物品免于销毁以便保全证据。</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四、美国确认，美国现行措施给予与本条款规定内容同等的待</w:t>
      </w:r>
    </w:p>
    <w:p>
      <w:pPr>
        <w:spacing w:after="0" w:line="224"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1.21</w:t>
      </w:r>
      <w:r>
        <w:rPr>
          <w:rFonts w:ascii="宋体" w:cs="宋体" w:eastAsia="宋体" w:hAnsi="宋体"/>
          <w:sz w:val="28"/>
          <w:szCs w:val="28"/>
          <w:b w:val="1"/>
          <w:bCs w:val="1"/>
          <w:color w:val="auto"/>
        </w:rPr>
        <w:t>条 边境执法行动</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一、双方应致力于加强执法合作，以减少包括出口或转运在内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的假冒和盗版商品数量。</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二、中国应重点围绕出口或转运的假冒和盗版商品，针对假冒</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和盗版商品的检查、扣押、查封、行政没收和行使其他海关执法权</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力，持续增加受训执法人员的数量。中国应采取的措施包括，在本</w:t>
      </w:r>
    </w:p>
    <w:p>
      <w:pPr>
        <w:spacing w:after="0" w:line="227"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协议生效后</w:t>
      </w:r>
      <w:r>
        <w:rPr>
          <w:rFonts w:ascii="Times New Roman" w:cs="Times New Roman" w:eastAsia="Times New Roman" w:hAnsi="Times New Roman"/>
          <w:sz w:val="28"/>
          <w:szCs w:val="28"/>
          <w:b w:val="1"/>
          <w:bCs w:val="1"/>
          <w:color w:val="auto"/>
        </w:rPr>
        <w:t>9</w:t>
      </w:r>
      <w:r>
        <w:rPr>
          <w:rFonts w:ascii="宋体" w:cs="宋体" w:eastAsia="宋体" w:hAnsi="宋体"/>
          <w:sz w:val="28"/>
          <w:szCs w:val="28"/>
          <w:b w:val="1"/>
          <w:bCs w:val="1"/>
          <w:color w:val="auto"/>
        </w:rPr>
        <w:t>个月内，显著增加对海关执法相关人员的培训；在本</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协议生效后</w:t>
      </w: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个月内，显著增加执法行动数量，并每季度在网上更</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新执法行动信息。</w:t>
      </w:r>
    </w:p>
    <w:p>
      <w:pPr>
        <w:spacing w:after="0" w:line="273" w:lineRule="exact"/>
        <w:rPr>
          <w:sz w:val="20"/>
          <w:szCs w:val="20"/>
          <w:color w:val="auto"/>
        </w:rPr>
      </w:pPr>
    </w:p>
    <w:p>
      <w:pPr>
        <w:jc w:val="center"/>
        <w:ind w:right="206"/>
        <w:spacing w:after="0" w:line="320" w:lineRule="exact"/>
        <w:rPr>
          <w:sz w:val="20"/>
          <w:szCs w:val="20"/>
          <w:color w:val="auto"/>
        </w:rPr>
      </w:pPr>
      <w:r>
        <w:rPr>
          <w:rFonts w:ascii="宋体" w:cs="宋体" w:eastAsia="宋体" w:hAnsi="宋体"/>
          <w:sz w:val="28"/>
          <w:szCs w:val="28"/>
          <w:b w:val="1"/>
          <w:bCs w:val="1"/>
          <w:color w:val="auto"/>
        </w:rPr>
        <w:t>三、双方同意考虑在合适的情况下开展边境执法合作。</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1.22</w:t>
      </w:r>
      <w:r>
        <w:rPr>
          <w:rFonts w:ascii="宋体" w:cs="宋体" w:eastAsia="宋体" w:hAnsi="宋体"/>
          <w:sz w:val="28"/>
          <w:szCs w:val="28"/>
          <w:b w:val="1"/>
          <w:bCs w:val="1"/>
          <w:color w:val="auto"/>
        </w:rPr>
        <w:t>条 实体市场执法</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一、双方应持续、有效地打击实体市场的著作权和商标侵权行</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为。</w:t>
      </w:r>
    </w:p>
    <w:p>
      <w:pPr>
        <w:spacing w:after="0" w:line="277"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二、中国应采取的措施包括，在本协议生效后</w:t>
      </w: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个月内，显著</w:t>
      </w:r>
    </w:p>
    <w:p>
      <w:pPr>
        <w:spacing w:after="0" w:line="215"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增加执法行动数量；每季度在网上更新针对实体市场执法行动的信</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1-13</w:t>
      </w:r>
    </w:p>
    <w:p>
      <w:pPr>
        <w:sectPr>
          <w:pgSz w:w="11900" w:h="16838" w:orient="portrait"/>
          <w:cols w:equalWidth="0" w:num="1">
            <w:col w:w="9026"/>
          </w:cols>
          <w:pgMar w:left="1440" w:top="1440" w:right="1440" w:bottom="435" w:gutter="0" w:footer="0" w:header="0"/>
          <w:type w:val="continuous"/>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息。</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三、美国确认，现有美国措施对实体市场著作权和商标侵权采</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取了有效执法。</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1.23</w:t>
      </w:r>
      <w:r>
        <w:rPr>
          <w:rFonts w:ascii="宋体" w:cs="宋体" w:eastAsia="宋体" w:hAnsi="宋体"/>
          <w:sz w:val="28"/>
          <w:szCs w:val="28"/>
          <w:b w:val="1"/>
          <w:bCs w:val="1"/>
          <w:color w:val="auto"/>
        </w:rPr>
        <w:t>条 未经许可的软件</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一、双方应确保，所有政府机构以及所有政府拥有或控制的实</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体，均安装和只能使用经许可的软件。</w:t>
      </w:r>
    </w:p>
    <w:p>
      <w:pPr>
        <w:spacing w:after="0" w:line="277"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二、中国应采取的措施包括，在本协议生效后</w:t>
      </w:r>
      <w:r>
        <w:rPr>
          <w:rFonts w:ascii="Times New Roman" w:cs="Times New Roman" w:eastAsia="Times New Roman" w:hAnsi="Times New Roman"/>
          <w:sz w:val="28"/>
          <w:szCs w:val="28"/>
          <w:b w:val="1"/>
          <w:bCs w:val="1"/>
          <w:color w:val="auto"/>
        </w:rPr>
        <w:t>7</w:t>
      </w:r>
      <w:r>
        <w:rPr>
          <w:rFonts w:ascii="宋体" w:cs="宋体" w:eastAsia="宋体" w:hAnsi="宋体"/>
          <w:sz w:val="28"/>
          <w:szCs w:val="28"/>
          <w:b w:val="1"/>
          <w:bCs w:val="1"/>
          <w:color w:val="auto"/>
        </w:rPr>
        <w:t>个月内，在国</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内聘用合格的非政府所有或附属的第三方进行年度审计，并在网上</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公布审计结果。</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三、美国确认，美国现行措施要求政府部门及其承包商仅安装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和使用经许可的软件。</w:t>
      </w:r>
    </w:p>
    <w:p>
      <w:pPr>
        <w:spacing w:after="0" w:line="273"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第八节 恶意商标</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1.24</w:t>
      </w:r>
      <w:r>
        <w:rPr>
          <w:rFonts w:ascii="宋体" w:cs="宋体" w:eastAsia="宋体" w:hAnsi="宋体"/>
          <w:sz w:val="28"/>
          <w:szCs w:val="28"/>
          <w:b w:val="1"/>
          <w:bCs w:val="1"/>
          <w:color w:val="auto"/>
        </w:rPr>
        <w:t>条</w:t>
      </w:r>
    </w:p>
    <w:p>
      <w:pPr>
        <w:spacing w:after="0" w:line="266"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为加强商标保护，双方应确保商标权充分和有效的保护和执法，</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特别是打击恶意商标注册行为。</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1.25</w:t>
      </w:r>
      <w:r>
        <w:rPr>
          <w:rFonts w:ascii="宋体" w:cs="宋体" w:eastAsia="宋体" w:hAnsi="宋体"/>
          <w:sz w:val="28"/>
          <w:szCs w:val="28"/>
          <w:b w:val="1"/>
          <w:bCs w:val="1"/>
          <w:color w:val="auto"/>
        </w:rPr>
        <w:t>条</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美国确认，美国现行措施给予与本节规定内容同等的待遇。</w:t>
      </w:r>
    </w:p>
    <w:p>
      <w:pPr>
        <w:spacing w:after="0" w:line="273"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第九节 知识产权案件司法执行和程序</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1.26</w:t>
      </w:r>
      <w:r>
        <w:rPr>
          <w:rFonts w:ascii="宋体" w:cs="宋体" w:eastAsia="宋体" w:hAnsi="宋体"/>
          <w:sz w:val="28"/>
          <w:szCs w:val="28"/>
          <w:b w:val="1"/>
          <w:bCs w:val="1"/>
          <w:color w:val="auto"/>
        </w:rPr>
        <w:t>条 行政执法向刑事执法的移交</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一、如依据客观标准，存在基于清晰事实的对于知识产权刑事</w:t>
      </w:r>
    </w:p>
    <w:p>
      <w:pPr>
        <w:spacing w:after="0" w:line="205"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违法行为的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合理嫌疑</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，中国应要求行政部门将案件移交刑事执</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法。</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1-14</w:t>
      </w:r>
    </w:p>
    <w:p>
      <w:pPr>
        <w:sectPr>
          <w:pgSz w:w="11900" w:h="16838" w:orient="portrait"/>
          <w:cols w:equalWidth="0" w:num="1">
            <w:col w:w="9026"/>
          </w:cols>
          <w:pgMar w:left="1440" w:top="1440" w:right="1440" w:bottom="435" w:gutter="0" w:footer="0" w:header="0"/>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二、美国确认，美国相关部门有权将适当的案件提交刑事执法。</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1.27</w:t>
      </w:r>
      <w:r>
        <w:rPr>
          <w:rFonts w:ascii="宋体" w:cs="宋体" w:eastAsia="宋体" w:hAnsi="宋体"/>
          <w:sz w:val="28"/>
          <w:szCs w:val="28"/>
          <w:b w:val="1"/>
          <w:bCs w:val="1"/>
          <w:color w:val="auto"/>
        </w:rPr>
        <w:t>条 达到阻遏目的的处罚</w:t>
      </w:r>
    </w:p>
    <w:p>
      <w:pPr>
        <w:spacing w:after="0" w:line="293"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一、双方应规定足以阻遏未来知识产权窃取或侵权的民事救济和刑事处罚。</w:t>
      </w:r>
    </w:p>
    <w:p>
      <w:pPr>
        <w:spacing w:after="0" w:line="318" w:lineRule="exact"/>
        <w:rPr>
          <w:sz w:val="20"/>
          <w:szCs w:val="20"/>
          <w:color w:val="auto"/>
        </w:rPr>
      </w:pPr>
    </w:p>
    <w:p>
      <w:pPr>
        <w:jc w:val="both"/>
        <w:ind w:left="480" w:right="486" w:firstLine="562"/>
        <w:spacing w:after="0" w:line="501" w:lineRule="exact"/>
        <w:rPr>
          <w:sz w:val="20"/>
          <w:szCs w:val="20"/>
          <w:color w:val="auto"/>
        </w:rPr>
      </w:pPr>
      <w:r>
        <w:rPr>
          <w:rFonts w:ascii="宋体" w:cs="宋体" w:eastAsia="宋体" w:hAnsi="宋体"/>
          <w:sz w:val="28"/>
          <w:szCs w:val="28"/>
          <w:b w:val="1"/>
          <w:bCs w:val="1"/>
          <w:color w:val="auto"/>
        </w:rPr>
        <w:t>二、中国：（一）作为过渡措施，应阻遏可能发生的窃取或侵犯知识产权的行为，并加强现有救济和惩罚的适用</w:t>
      </w:r>
      <w:r>
        <w:rPr>
          <w:rFonts w:ascii="宋体" w:cs="宋体" w:eastAsia="宋体" w:hAnsi="宋体"/>
          <w:sz w:val="28"/>
          <w:szCs w:val="28"/>
          <w:color w:val="auto"/>
        </w:rPr>
        <w:t>，</w:t>
      </w:r>
      <w:r>
        <w:rPr>
          <w:rFonts w:ascii="宋体" w:cs="宋体" w:eastAsia="宋体" w:hAnsi="宋体"/>
          <w:sz w:val="28"/>
          <w:szCs w:val="28"/>
          <w:b w:val="1"/>
          <w:bCs w:val="1"/>
          <w:color w:val="auto"/>
        </w:rPr>
        <w:t>按照知识产权相关法律，通过以接近或达到最高法定处罚的方式从重处罚，阻遏可能发生的窃取或侵犯知识产权的行为，以及（二）作为后续措施，应提高法定赔偿金、监禁刑和罚金的最低和最高限度，以阻遏未来窃取或侵犯知识产权的行为。</w:t>
      </w:r>
    </w:p>
    <w:p>
      <w:pPr>
        <w:spacing w:after="0" w:line="318" w:lineRule="exact"/>
        <w:rPr>
          <w:sz w:val="20"/>
          <w:szCs w:val="20"/>
          <w:color w:val="auto"/>
        </w:rPr>
      </w:pPr>
    </w:p>
    <w:p>
      <w:pPr>
        <w:jc w:val="both"/>
        <w:ind w:left="480" w:right="486" w:firstLine="559"/>
        <w:spacing w:after="0" w:line="456" w:lineRule="exact"/>
        <w:rPr>
          <w:sz w:val="20"/>
          <w:szCs w:val="20"/>
          <w:color w:val="auto"/>
        </w:rPr>
      </w:pPr>
      <w:r>
        <w:rPr>
          <w:rFonts w:ascii="宋体" w:cs="宋体" w:eastAsia="宋体" w:hAnsi="宋体"/>
          <w:sz w:val="28"/>
          <w:szCs w:val="28"/>
          <w:b w:val="1"/>
          <w:bCs w:val="1"/>
          <w:color w:val="auto"/>
        </w:rPr>
        <w:t>三、美国应致力于考虑在合适的情况下与中国加强在双边知识产权刑事执法工作组框架下的交流与合作，在知识产权刑事执法方面考虑更多经验分享与务实合作。</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1.28</w:t>
      </w:r>
      <w:r>
        <w:rPr>
          <w:rFonts w:ascii="宋体" w:cs="宋体" w:eastAsia="宋体" w:hAnsi="宋体"/>
          <w:sz w:val="28"/>
          <w:szCs w:val="28"/>
          <w:b w:val="1"/>
          <w:bCs w:val="1"/>
          <w:color w:val="auto"/>
        </w:rPr>
        <w:t>条 判决执行</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一、双方应确保其法院最终判决的任何罚款、处罚、经济赔偿</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支付、禁令或其他侵犯知识产权的救济措施，得到迅速执行。</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二、中国应采取的措施包括，执行工作指南和实施计划以确保</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迅速执行判决，在本协议生效后</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个月内，公布工作指南和实施计</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划，并每季度在网上公布执行结果报告。</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三、美国确认，美国现行措施可保障对于判决的快速执行，包</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括针对侵犯知识产权的相关判决。</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1.29</w:t>
      </w:r>
      <w:r>
        <w:rPr>
          <w:rFonts w:ascii="宋体" w:cs="宋体" w:eastAsia="宋体" w:hAnsi="宋体"/>
          <w:sz w:val="28"/>
          <w:szCs w:val="28"/>
          <w:b w:val="1"/>
          <w:bCs w:val="1"/>
          <w:color w:val="auto"/>
        </w:rPr>
        <w:t>条 著作权和相关权的执行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1-15</w:t>
      </w:r>
    </w:p>
    <w:p>
      <w:pPr>
        <w:sectPr>
          <w:pgSz w:w="11900" w:h="16838" w:orient="portrait"/>
          <w:cols w:equalWidth="0" w:num="1">
            <w:col w:w="9026"/>
          </w:cols>
          <w:pgMar w:left="1440" w:top="1440" w:right="1440" w:bottom="435"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480" w:right="206" w:firstLine="562"/>
        <w:spacing w:after="0" w:line="522" w:lineRule="exact"/>
        <w:rPr>
          <w:sz w:val="20"/>
          <w:szCs w:val="20"/>
          <w:color w:val="auto"/>
        </w:rPr>
      </w:pPr>
      <w:r>
        <w:rPr>
          <w:rFonts w:ascii="宋体" w:cs="宋体" w:eastAsia="宋体" w:hAnsi="宋体"/>
          <w:sz w:val="28"/>
          <w:szCs w:val="28"/>
          <w:b w:val="1"/>
          <w:bCs w:val="1"/>
          <w:color w:val="auto"/>
        </w:rPr>
        <w:t>一、在涉及著作权或相关权的民事、行政和刑事程序中，双方应：（一）规定如下的法律推定：如果没有相反的证据，以通常方式署名显示作品的作者、出版者、表演的表演者或录音制品的表演者、制作人，就是该作品、表演或录音制品的著作权人或相关权利人，而且著作权或相关权利存在于上述作品、表演、录音制品中；（二）在符合第一项推定且被诉侵权人没有提交反驳证据的情况下，免除出于确立著作权或相关权的所有权、许可或侵权的目的，提交著作权或相关权的转让协议或其他文书的要求；（三）规定被诉侵权人承担提供证据的责任或举证责任（在各自法律体系下使用适当的用词），证明其对受著作权或相关权保护的作品的使用是经过授权的，包括被诉侵权人声称已经从权利人获得使用作品的准许的情况，例如许可。</w:t>
      </w:r>
    </w:p>
    <w:p>
      <w:pPr>
        <w:spacing w:after="0" w:line="326" w:lineRule="exact"/>
        <w:rPr>
          <w:sz w:val="20"/>
          <w:szCs w:val="20"/>
          <w:color w:val="auto"/>
        </w:rPr>
      </w:pPr>
    </w:p>
    <w:p>
      <w:pPr>
        <w:ind w:left="480" w:right="486" w:firstLine="559"/>
        <w:spacing w:after="0" w:line="412" w:lineRule="exact"/>
        <w:rPr>
          <w:sz w:val="20"/>
          <w:szCs w:val="20"/>
          <w:color w:val="auto"/>
        </w:rPr>
      </w:pPr>
      <w:r>
        <w:rPr>
          <w:rFonts w:ascii="宋体" w:cs="宋体" w:eastAsia="宋体" w:hAnsi="宋体"/>
          <w:sz w:val="28"/>
          <w:szCs w:val="28"/>
          <w:b w:val="1"/>
          <w:bCs w:val="1"/>
          <w:color w:val="auto"/>
        </w:rPr>
        <w:t>二、美国确认，美国现行措施给予与本条款规定内容同等的待遇。</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1.30</w:t>
      </w:r>
      <w:r>
        <w:rPr>
          <w:rFonts w:ascii="宋体" w:cs="宋体" w:eastAsia="宋体" w:hAnsi="宋体"/>
          <w:sz w:val="28"/>
          <w:szCs w:val="28"/>
          <w:b w:val="1"/>
          <w:bCs w:val="1"/>
          <w:color w:val="auto"/>
        </w:rPr>
        <w:t>条 文书认证（</w:t>
      </w:r>
      <w:r>
        <w:rPr>
          <w:rFonts w:ascii="Arial" w:cs="Arial" w:eastAsia="Arial" w:hAnsi="Arial"/>
          <w:sz w:val="28"/>
          <w:szCs w:val="28"/>
          <w:b w:val="1"/>
          <w:bCs w:val="1"/>
          <w:color w:val="auto"/>
        </w:rPr>
        <w:t>“</w:t>
      </w:r>
      <w:r>
        <w:rPr>
          <w:rFonts w:ascii="宋体" w:cs="宋体" w:eastAsia="宋体" w:hAnsi="宋体"/>
          <w:sz w:val="28"/>
          <w:szCs w:val="28"/>
          <w:b w:val="1"/>
          <w:bCs w:val="1"/>
          <w:color w:val="auto"/>
        </w:rPr>
        <w:t>领事认证</w:t>
      </w:r>
      <w:r>
        <w:rPr>
          <w:rFonts w:ascii="Arial" w:cs="Arial" w:eastAsia="Arial" w:hAnsi="Arial"/>
          <w:sz w:val="28"/>
          <w:szCs w:val="28"/>
          <w:b w:val="1"/>
          <w:bCs w:val="1"/>
          <w:color w:val="auto"/>
        </w:rPr>
        <w:t>”</w:t>
      </w:r>
      <w:r>
        <w:rPr>
          <w:rFonts w:ascii="宋体" w:cs="宋体" w:eastAsia="宋体" w:hAnsi="宋体"/>
          <w:sz w:val="28"/>
          <w:szCs w:val="28"/>
          <w:b w:val="1"/>
          <w:bCs w:val="1"/>
          <w:color w:val="auto"/>
        </w:rPr>
        <w:t>）</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一、在民事司法程序中，对于可通过当事人之间认可或以接受</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伪证处罚为前提的证人证言来引入或确认真实性的证据，则双方不</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得提出证据认证的形式要求，包括要求领事官员盖章或盖印等。</w:t>
      </w:r>
    </w:p>
    <w:p>
      <w:pPr>
        <w:spacing w:after="0" w:line="27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二、对于无法通过当事人之间认可或以接受伪证处罚为前提的</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证人证言引入或确认真实性的证据，中国应简化公证和认证程序。</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1-16</w:t>
      </w:r>
    </w:p>
    <w:p>
      <w:pPr>
        <w:sectPr>
          <w:pgSz w:w="11900" w:h="16838" w:orient="portrait"/>
          <w:cols w:equalWidth="0" w:num="1">
            <w:col w:w="9026"/>
          </w:cols>
          <w:pgMar w:left="1440" w:top="1440" w:right="1440" w:bottom="435" w:gutter="0" w:footer="0" w:header="0"/>
          <w:type w:val="continuous"/>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1.31</w:t>
      </w:r>
      <w:r>
        <w:rPr>
          <w:rFonts w:ascii="宋体" w:cs="宋体" w:eastAsia="宋体" w:hAnsi="宋体"/>
          <w:sz w:val="28"/>
          <w:szCs w:val="28"/>
          <w:b w:val="1"/>
          <w:bCs w:val="1"/>
          <w:color w:val="auto"/>
        </w:rPr>
        <w:t>条 证人证言</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一、在民事司法程序中，中国应给予当事方在案件中邀请证人</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或专家，并在庭审中对证人证言进行质询的合理机会。</w:t>
      </w:r>
    </w:p>
    <w:p>
      <w:pPr>
        <w:spacing w:after="0" w:line="27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二、美国确认，美国现行措施给予与本条款规定内容同等的待</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遇。</w:t>
      </w:r>
    </w:p>
    <w:p>
      <w:pPr>
        <w:spacing w:after="0" w:line="27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第十节 双边知识产权保护合作</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1.32</w:t>
      </w:r>
      <w:r>
        <w:rPr>
          <w:rFonts w:ascii="宋体" w:cs="宋体" w:eastAsia="宋体" w:hAnsi="宋体"/>
          <w:sz w:val="28"/>
          <w:szCs w:val="28"/>
          <w:b w:val="1"/>
          <w:bCs w:val="1"/>
          <w:color w:val="auto"/>
        </w:rPr>
        <w:t>条</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与本协议知识产权章节相关的合作活动和倡议应基于可用资</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源，根据要求，并按照双方一致同意的条款和条件进行。</w:t>
      </w:r>
    </w:p>
    <w:p>
      <w:pPr>
        <w:spacing w:after="0" w:line="27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1.33</w:t>
      </w:r>
      <w:r>
        <w:rPr>
          <w:rFonts w:ascii="宋体" w:cs="宋体" w:eastAsia="宋体" w:hAnsi="宋体"/>
          <w:sz w:val="28"/>
          <w:szCs w:val="28"/>
          <w:b w:val="1"/>
          <w:bCs w:val="1"/>
          <w:color w:val="auto"/>
        </w:rPr>
        <w:t>条</w:t>
      </w:r>
    </w:p>
    <w:p>
      <w:pPr>
        <w:spacing w:after="0" w:line="25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双方同意，加大知识产权保护双边合作力度，推动在该领域的</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务实合作。中国国家知识产权局和美国专利商标局将讨论知识产权</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双年度合作工作计划，内容包括联合项目，产业外联，信息和专家</w:t>
      </w:r>
    </w:p>
    <w:p>
      <w:pPr>
        <w:spacing w:after="0" w:line="226" w:lineRule="exact"/>
        <w:rPr>
          <w:sz w:val="20"/>
          <w:szCs w:val="20"/>
          <w:color w:val="auto"/>
        </w:rPr>
      </w:pPr>
    </w:p>
    <w:p>
      <w:pPr>
        <w:jc w:val="center"/>
        <w:ind w:right="-133"/>
        <w:spacing w:after="0" w:line="320" w:lineRule="exact"/>
        <w:rPr>
          <w:sz w:val="20"/>
          <w:szCs w:val="20"/>
          <w:color w:val="auto"/>
        </w:rPr>
      </w:pPr>
      <w:r>
        <w:rPr>
          <w:rFonts w:ascii="宋体" w:cs="宋体" w:eastAsia="宋体" w:hAnsi="宋体"/>
          <w:sz w:val="28"/>
          <w:szCs w:val="28"/>
          <w:b w:val="1"/>
          <w:bCs w:val="1"/>
          <w:color w:val="auto"/>
        </w:rPr>
        <w:t>交流，通过会议和其他方式定期互动，以及公众意识领域的合作。</w:t>
      </w:r>
    </w:p>
    <w:p>
      <w:pPr>
        <w:spacing w:after="0" w:line="276"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第十一节 履行</w:t>
      </w:r>
    </w:p>
    <w:p>
      <w:pPr>
        <w:spacing w:after="0" w:line="27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1.34</w:t>
      </w:r>
      <w:r>
        <w:rPr>
          <w:rFonts w:ascii="宋体" w:cs="宋体" w:eastAsia="宋体" w:hAnsi="宋体"/>
          <w:sz w:val="28"/>
          <w:szCs w:val="28"/>
          <w:b w:val="1"/>
          <w:bCs w:val="1"/>
          <w:color w:val="auto"/>
        </w:rPr>
        <w:t>条</w:t>
      </w:r>
    </w:p>
    <w:p>
      <w:pPr>
        <w:spacing w:after="0" w:line="296" w:lineRule="exact"/>
        <w:rPr>
          <w:sz w:val="20"/>
          <w:szCs w:val="20"/>
          <w:color w:val="auto"/>
        </w:rPr>
      </w:pPr>
    </w:p>
    <w:p>
      <w:pPr>
        <w:jc w:val="both"/>
        <w:ind w:left="480" w:right="346" w:firstLine="552"/>
        <w:spacing w:after="0" w:line="477" w:lineRule="exact"/>
        <w:rPr>
          <w:sz w:val="20"/>
          <w:szCs w:val="20"/>
          <w:color w:val="auto"/>
        </w:rPr>
      </w:pPr>
      <w:r>
        <w:rPr>
          <w:rFonts w:ascii="宋体" w:cs="宋体" w:eastAsia="宋体" w:hAnsi="宋体"/>
          <w:sz w:val="28"/>
          <w:szCs w:val="28"/>
          <w:b w:val="1"/>
          <w:bCs w:val="1"/>
          <w:color w:val="auto"/>
        </w:rPr>
        <w:t>双方应在各自的法律体系和实践中，选择合适的方式履行本协议。必要时，双方应按国内法定程序，向立法机构提出修法建议。与双边评估和争端解决章节相一致，双方应确保完全履行本协议下的义务。</w:t>
      </w:r>
    </w:p>
    <w:p>
      <w:pPr>
        <w:spacing w:after="0" w:line="281" w:lineRule="exact"/>
        <w:rPr>
          <w:sz w:val="20"/>
          <w:szCs w:val="20"/>
          <w:color w:val="auto"/>
        </w:rPr>
      </w:pPr>
    </w:p>
    <w:p>
      <w:pPr>
        <w:ind w:left="3980"/>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1.35</w:t>
      </w:r>
      <w:r>
        <w:rPr>
          <w:rFonts w:ascii="宋体" w:cs="宋体" w:eastAsia="宋体" w:hAnsi="宋体"/>
          <w:sz w:val="28"/>
          <w:szCs w:val="28"/>
          <w:b w:val="1"/>
          <w:bCs w:val="1"/>
          <w:color w:val="auto"/>
        </w:rPr>
        <w:t>条</w:t>
      </w:r>
    </w:p>
    <w:p>
      <w:pPr>
        <w:spacing w:after="0" w:line="255" w:lineRule="exact"/>
        <w:rPr>
          <w:sz w:val="20"/>
          <w:szCs w:val="20"/>
          <w:color w:val="auto"/>
        </w:rPr>
      </w:pPr>
    </w:p>
    <w:p>
      <w:pPr>
        <w:ind w:left="1160"/>
        <w:spacing w:after="0" w:line="341" w:lineRule="exact"/>
        <w:rPr>
          <w:sz w:val="20"/>
          <w:szCs w:val="20"/>
          <w:color w:val="auto"/>
        </w:rPr>
      </w:pPr>
      <w:r>
        <w:rPr>
          <w:rFonts w:ascii="宋体" w:cs="宋体" w:eastAsia="宋体" w:hAnsi="宋体"/>
          <w:sz w:val="28"/>
          <w:szCs w:val="28"/>
          <w:b w:val="1"/>
          <w:bCs w:val="1"/>
          <w:color w:val="auto"/>
        </w:rPr>
        <w:t>在本协议生效后</w:t>
      </w:r>
      <w:r>
        <w:rPr>
          <w:rFonts w:ascii="Times New Roman" w:cs="Times New Roman" w:eastAsia="Times New Roman" w:hAnsi="Times New Roman"/>
          <w:sz w:val="28"/>
          <w:szCs w:val="28"/>
          <w:b w:val="1"/>
          <w:bCs w:val="1"/>
          <w:color w:val="auto"/>
        </w:rPr>
        <w:t>30</w:t>
      </w:r>
      <w:r>
        <w:rPr>
          <w:rFonts w:ascii="宋体" w:cs="宋体" w:eastAsia="宋体" w:hAnsi="宋体"/>
          <w:sz w:val="28"/>
          <w:szCs w:val="28"/>
          <w:b w:val="1"/>
          <w:bCs w:val="1"/>
          <w:color w:val="auto"/>
        </w:rPr>
        <w:t>个工作日内，中国将制定行动计划以加强</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1-17</w:t>
      </w:r>
    </w:p>
    <w:p>
      <w:pPr>
        <w:sectPr>
          <w:pgSz w:w="11900" w:h="16838" w:orient="portrait"/>
          <w:cols w:equalWidth="0" w:num="1">
            <w:col w:w="9026"/>
          </w:cols>
          <w:pgMar w:left="1440" w:top="1440" w:right="1440" w:bottom="435" w:gutter="0" w:footer="0" w:header="0"/>
          <w:type w:val="continuous"/>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620"/>
        <w:spacing w:after="0" w:line="320" w:lineRule="exact"/>
        <w:rPr>
          <w:sz w:val="20"/>
          <w:szCs w:val="20"/>
          <w:color w:val="auto"/>
        </w:rPr>
      </w:pPr>
      <w:r>
        <w:rPr>
          <w:rFonts w:ascii="宋体" w:cs="宋体" w:eastAsia="宋体" w:hAnsi="宋体"/>
          <w:sz w:val="28"/>
          <w:szCs w:val="28"/>
          <w:b w:val="1"/>
          <w:bCs w:val="1"/>
          <w:color w:val="auto"/>
        </w:rPr>
        <w:t>知识产权保护，促进经济高质量发展。本行动计划应包括但不限</w:t>
      </w:r>
    </w:p>
    <w:p>
      <w:pPr>
        <w:spacing w:after="0" w:line="225" w:lineRule="exact"/>
        <w:rPr>
          <w:sz w:val="20"/>
          <w:szCs w:val="20"/>
          <w:color w:val="auto"/>
        </w:rPr>
      </w:pPr>
    </w:p>
    <w:p>
      <w:pPr>
        <w:ind w:left="620"/>
        <w:spacing w:after="0" w:line="320" w:lineRule="exact"/>
        <w:rPr>
          <w:sz w:val="20"/>
          <w:szCs w:val="20"/>
          <w:color w:val="auto"/>
        </w:rPr>
      </w:pPr>
      <w:r>
        <w:rPr>
          <w:rFonts w:ascii="宋体" w:cs="宋体" w:eastAsia="宋体" w:hAnsi="宋体"/>
          <w:sz w:val="28"/>
          <w:szCs w:val="28"/>
          <w:b w:val="1"/>
          <w:bCs w:val="1"/>
          <w:color w:val="auto"/>
        </w:rPr>
        <w:t>于中国为履行本章节义务将采取的每一项措施及生效时间。</w:t>
      </w:r>
    </w:p>
    <w:p>
      <w:pPr>
        <w:spacing w:after="0" w:line="277" w:lineRule="exact"/>
        <w:rPr>
          <w:sz w:val="20"/>
          <w:szCs w:val="20"/>
          <w:color w:val="auto"/>
        </w:rPr>
      </w:pPr>
    </w:p>
    <w:p>
      <w:pPr>
        <w:jc w:val="center"/>
        <w:ind w:right="-13"/>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1.36</w:t>
      </w:r>
      <w:r>
        <w:rPr>
          <w:rFonts w:ascii="宋体" w:cs="宋体" w:eastAsia="宋体" w:hAnsi="宋体"/>
          <w:sz w:val="28"/>
          <w:szCs w:val="28"/>
          <w:b w:val="1"/>
          <w:bCs w:val="1"/>
          <w:color w:val="auto"/>
        </w:rPr>
        <w:t>条</w:t>
      </w:r>
    </w:p>
    <w:p>
      <w:pPr>
        <w:spacing w:after="0" w:line="251" w:lineRule="exact"/>
        <w:rPr>
          <w:sz w:val="20"/>
          <w:szCs w:val="20"/>
          <w:color w:val="auto"/>
        </w:rPr>
      </w:pPr>
    </w:p>
    <w:p>
      <w:pPr>
        <w:ind w:left="1160"/>
        <w:spacing w:after="0" w:line="320" w:lineRule="exact"/>
        <w:rPr>
          <w:sz w:val="20"/>
          <w:szCs w:val="20"/>
          <w:color w:val="auto"/>
        </w:rPr>
      </w:pPr>
      <w:r>
        <w:rPr>
          <w:rFonts w:ascii="宋体" w:cs="宋体" w:eastAsia="宋体" w:hAnsi="宋体"/>
          <w:sz w:val="28"/>
          <w:szCs w:val="28"/>
          <w:b w:val="1"/>
          <w:bCs w:val="1"/>
          <w:color w:val="auto"/>
        </w:rPr>
        <w:t>美国确认，美国现行措施与本章节所规定的义务相一致。</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1-18</w:t>
      </w:r>
    </w:p>
    <w:p>
      <w:pPr>
        <w:sectPr>
          <w:pgSz w:w="11900" w:h="16838" w:orient="portrait"/>
          <w:cols w:equalWidth="0" w:num="1">
            <w:col w:w="9026"/>
          </w:cols>
          <w:pgMar w:left="1440" w:top="1440" w:right="1440" w:bottom="435" w:gutter="0" w:footer="0" w:header="0"/>
          <w:type w:val="continuous"/>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第二章 技术转让</w:t>
      </w:r>
    </w:p>
    <w:p>
      <w:pPr>
        <w:spacing w:after="0" w:line="200" w:lineRule="exact"/>
        <w:rPr>
          <w:sz w:val="20"/>
          <w:szCs w:val="20"/>
          <w:color w:val="auto"/>
        </w:rPr>
      </w:pPr>
    </w:p>
    <w:p>
      <w:pPr>
        <w:spacing w:after="0" w:line="298" w:lineRule="exact"/>
        <w:rPr>
          <w:sz w:val="20"/>
          <w:szCs w:val="20"/>
          <w:color w:val="auto"/>
        </w:rPr>
      </w:pPr>
    </w:p>
    <w:p>
      <w:pPr>
        <w:jc w:val="both"/>
        <w:ind w:left="480" w:right="486" w:firstLine="562"/>
        <w:spacing w:after="0" w:line="478" w:lineRule="exact"/>
        <w:rPr>
          <w:sz w:val="20"/>
          <w:szCs w:val="20"/>
          <w:color w:val="auto"/>
        </w:rPr>
      </w:pPr>
      <w:r>
        <w:rPr>
          <w:rFonts w:ascii="宋体" w:cs="宋体" w:eastAsia="宋体" w:hAnsi="宋体"/>
          <w:sz w:val="28"/>
          <w:szCs w:val="28"/>
          <w:b w:val="1"/>
          <w:bCs w:val="1"/>
          <w:color w:val="auto"/>
        </w:rPr>
        <w:t>双方确认确保按照自愿和基于市场的条件开展技术转让的重要性，并认识到强制技术转让是一项重要关切。由于技术和技术变化给世界经济带来深刻影响，双方进一步认识到采取措施解决这些问题的重要性。</w:t>
      </w:r>
    </w:p>
    <w:p>
      <w:pPr>
        <w:spacing w:after="0" w:line="200" w:lineRule="exact"/>
        <w:rPr>
          <w:sz w:val="20"/>
          <w:szCs w:val="20"/>
          <w:color w:val="auto"/>
        </w:rPr>
      </w:pPr>
    </w:p>
    <w:p>
      <w:pPr>
        <w:spacing w:after="0" w:line="285" w:lineRule="exact"/>
        <w:rPr>
          <w:sz w:val="20"/>
          <w:szCs w:val="20"/>
          <w:color w:val="auto"/>
        </w:rPr>
      </w:pPr>
    </w:p>
    <w:p>
      <w:pPr>
        <w:ind w:left="480" w:right="346" w:firstLine="562"/>
        <w:spacing w:after="0" w:line="412" w:lineRule="exact"/>
        <w:rPr>
          <w:sz w:val="20"/>
          <w:szCs w:val="20"/>
          <w:color w:val="auto"/>
        </w:rPr>
      </w:pPr>
      <w:r>
        <w:rPr>
          <w:rFonts w:ascii="宋体" w:cs="宋体" w:eastAsia="宋体" w:hAnsi="宋体"/>
          <w:sz w:val="28"/>
          <w:szCs w:val="28"/>
          <w:b w:val="1"/>
          <w:bCs w:val="1"/>
          <w:color w:val="auto"/>
        </w:rPr>
        <w:t>为增进双方关于技术事项的互信与合作，保护知识产权，促进贸易和投资，并为解决长期结构性问题打好基础，双方约定如下：</w:t>
      </w:r>
    </w:p>
    <w:p>
      <w:pPr>
        <w:spacing w:after="0" w:line="200" w:lineRule="exact"/>
        <w:rPr>
          <w:sz w:val="20"/>
          <w:szCs w:val="20"/>
          <w:color w:val="auto"/>
        </w:rPr>
      </w:pPr>
    </w:p>
    <w:p>
      <w:pPr>
        <w:spacing w:after="0" w:line="245" w:lineRule="exact"/>
        <w:rPr>
          <w:sz w:val="20"/>
          <w:szCs w:val="20"/>
          <w:color w:val="auto"/>
        </w:rPr>
      </w:pPr>
    </w:p>
    <w:p>
      <w:pPr>
        <w:ind w:left="3920" w:hanging="355"/>
        <w:spacing w:after="0" w:line="341" w:lineRule="exact"/>
        <w:tabs>
          <w:tab w:leader="none" w:pos="3920" w:val="left"/>
        </w:tabs>
        <w:numPr>
          <w:ilvl w:val="0"/>
          <w:numId w:val="3"/>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2.1 </w:t>
      </w:r>
      <w:r>
        <w:rPr>
          <w:rFonts w:ascii="宋体" w:cs="宋体" w:eastAsia="宋体" w:hAnsi="宋体"/>
          <w:sz w:val="28"/>
          <w:szCs w:val="28"/>
          <w:b w:val="1"/>
          <w:bCs w:val="1"/>
          <w:color w:val="auto"/>
        </w:rPr>
        <w:t>条 总 则</w:t>
      </w:r>
    </w:p>
    <w:p>
      <w:pPr>
        <w:spacing w:after="0" w:line="200" w:lineRule="exact"/>
        <w:rPr>
          <w:sz w:val="20"/>
          <w:szCs w:val="20"/>
          <w:color w:val="auto"/>
        </w:rPr>
      </w:pPr>
    </w:p>
    <w:p>
      <w:pPr>
        <w:spacing w:after="0" w:line="261" w:lineRule="exact"/>
        <w:rPr>
          <w:sz w:val="20"/>
          <w:szCs w:val="20"/>
          <w:color w:val="auto"/>
        </w:rPr>
      </w:pPr>
    </w:p>
    <w:p>
      <w:pPr>
        <w:jc w:val="both"/>
        <w:ind w:left="480" w:right="486" w:firstLine="552"/>
        <w:spacing w:after="0" w:line="457" w:lineRule="exact"/>
        <w:rPr>
          <w:sz w:val="20"/>
          <w:szCs w:val="20"/>
          <w:color w:val="auto"/>
        </w:rPr>
      </w:pPr>
      <w:r>
        <w:rPr>
          <w:rFonts w:ascii="宋体" w:cs="宋体" w:eastAsia="宋体" w:hAnsi="宋体"/>
          <w:sz w:val="28"/>
          <w:szCs w:val="28"/>
          <w:b w:val="1"/>
          <w:bCs w:val="1"/>
          <w:color w:val="auto"/>
        </w:rPr>
        <w:t>一、一方的自然人或法人（</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个人</w:t>
      </w:r>
      <w:r>
        <w:rPr>
          <w:rFonts w:ascii="Arial" w:cs="Arial" w:eastAsia="Arial" w:hAnsi="Arial"/>
          <w:sz w:val="28"/>
          <w:szCs w:val="28"/>
          <w:b w:val="1"/>
          <w:bCs w:val="1"/>
          <w:color w:val="auto"/>
        </w:rPr>
        <w:t>”</w:t>
      </w:r>
      <w:r>
        <w:rPr>
          <w:rFonts w:ascii="宋体" w:cs="宋体" w:eastAsia="宋体" w:hAnsi="宋体"/>
          <w:sz w:val="28"/>
          <w:szCs w:val="28"/>
          <w:b w:val="1"/>
          <w:bCs w:val="1"/>
          <w:color w:val="auto"/>
        </w:rPr>
        <w:t>）应能够有效进入对方管辖区，公开、自由地开展运营，而不会受到对方强迫或压力向其个人转让技术。</w:t>
      </w:r>
    </w:p>
    <w:p>
      <w:pPr>
        <w:spacing w:after="0" w:line="200" w:lineRule="exact"/>
        <w:rPr>
          <w:sz w:val="20"/>
          <w:szCs w:val="20"/>
          <w:color w:val="auto"/>
        </w:rPr>
      </w:pPr>
    </w:p>
    <w:p>
      <w:pPr>
        <w:spacing w:after="0" w:line="281"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二、双方个人之间的技术转让或许可应基于自愿且反映双方个人同意的市场条件。</w:t>
      </w:r>
    </w:p>
    <w:p>
      <w:pPr>
        <w:spacing w:after="0" w:line="200" w:lineRule="exact"/>
        <w:rPr>
          <w:sz w:val="20"/>
          <w:szCs w:val="20"/>
          <w:color w:val="auto"/>
        </w:rPr>
      </w:pPr>
    </w:p>
    <w:p>
      <w:pPr>
        <w:spacing w:after="0" w:line="283" w:lineRule="exact"/>
        <w:rPr>
          <w:sz w:val="20"/>
          <w:szCs w:val="20"/>
          <w:color w:val="auto"/>
        </w:rPr>
      </w:pPr>
    </w:p>
    <w:p>
      <w:pPr>
        <w:jc w:val="both"/>
        <w:ind w:left="480" w:right="486" w:firstLine="562"/>
        <w:spacing w:after="0" w:line="457" w:lineRule="exact"/>
        <w:rPr>
          <w:sz w:val="20"/>
          <w:szCs w:val="20"/>
          <w:color w:val="auto"/>
        </w:rPr>
      </w:pPr>
      <w:r>
        <w:rPr>
          <w:rFonts w:ascii="宋体" w:cs="宋体" w:eastAsia="宋体" w:hAnsi="宋体"/>
          <w:sz w:val="28"/>
          <w:szCs w:val="28"/>
          <w:b w:val="1"/>
          <w:bCs w:val="1"/>
          <w:color w:val="auto"/>
        </w:rPr>
        <w:t>三、一方不得支持或指导其个人针对其产业规划所指向的领域和行业，开展以获取外国技术为目的、导致扭曲的境外直接投资活动。</w:t>
      </w:r>
    </w:p>
    <w:p>
      <w:pPr>
        <w:spacing w:after="0" w:line="200" w:lineRule="exact"/>
        <w:rPr>
          <w:sz w:val="20"/>
          <w:szCs w:val="20"/>
          <w:color w:val="auto"/>
        </w:rPr>
      </w:pPr>
    </w:p>
    <w:p>
      <w:pPr>
        <w:spacing w:after="0" w:line="246" w:lineRule="exact"/>
        <w:rPr>
          <w:sz w:val="20"/>
          <w:szCs w:val="20"/>
          <w:color w:val="auto"/>
        </w:rPr>
      </w:pPr>
    </w:p>
    <w:p>
      <w:pPr>
        <w:ind w:left="3700" w:hanging="346"/>
        <w:spacing w:after="0" w:line="341" w:lineRule="exact"/>
        <w:tabs>
          <w:tab w:leader="none" w:pos="3700" w:val="left"/>
        </w:tabs>
        <w:numPr>
          <w:ilvl w:val="0"/>
          <w:numId w:val="4"/>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2.2 </w:t>
      </w:r>
      <w:r>
        <w:rPr>
          <w:rFonts w:ascii="宋体" w:cs="宋体" w:eastAsia="宋体" w:hAnsi="宋体"/>
          <w:sz w:val="28"/>
          <w:szCs w:val="28"/>
          <w:b w:val="1"/>
          <w:bCs w:val="1"/>
          <w:color w:val="auto"/>
        </w:rPr>
        <w:t>条 市场准入</w:t>
      </w:r>
    </w:p>
    <w:p>
      <w:pPr>
        <w:spacing w:after="0" w:line="200" w:lineRule="exact"/>
        <w:rPr>
          <w:rFonts w:ascii="宋体" w:cs="宋体" w:eastAsia="宋体" w:hAnsi="宋体"/>
          <w:sz w:val="28"/>
          <w:szCs w:val="28"/>
          <w:b w:val="1"/>
          <w:bCs w:val="1"/>
          <w:color w:val="auto"/>
        </w:rPr>
      </w:pPr>
    </w:p>
    <w:p>
      <w:pPr>
        <w:spacing w:after="0" w:line="217" w:lineRule="exact"/>
        <w:rPr>
          <w:rFonts w:ascii="宋体" w:cs="宋体" w:eastAsia="宋体" w:hAnsi="宋体"/>
          <w:sz w:val="28"/>
          <w:szCs w:val="28"/>
          <w:b w:val="1"/>
          <w:bCs w:val="1"/>
          <w:color w:val="auto"/>
        </w:rPr>
      </w:pPr>
    </w:p>
    <w:p>
      <w:pPr>
        <w:ind w:left="1040"/>
        <w:spacing w:after="0" w:line="320"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对于收购、合资或其他投资交易，任何一方都不得要求或施压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2-1</w:t>
      </w:r>
    </w:p>
    <w:p>
      <w:pPr>
        <w:sectPr>
          <w:pgSz w:w="11900" w:h="16838" w:orient="portrait"/>
          <w:cols w:equalWidth="0" w:num="1">
            <w:col w:w="9026"/>
          </w:cols>
          <w:pgMar w:left="1440" w:top="1440" w:right="1440" w:bottom="435" w:gutter="0" w:footer="0" w:header="0"/>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对方个人向己方个人转让技术。</w:t>
      </w:r>
    </w:p>
    <w:p>
      <w:pPr>
        <w:spacing w:after="0" w:line="200" w:lineRule="exact"/>
        <w:rPr>
          <w:sz w:val="20"/>
          <w:szCs w:val="20"/>
          <w:color w:val="auto"/>
        </w:rPr>
      </w:pPr>
    </w:p>
    <w:p>
      <w:pPr>
        <w:spacing w:after="0" w:line="242"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 xml:space="preserve"> 2.3 </w:t>
      </w:r>
      <w:r>
        <w:rPr>
          <w:rFonts w:ascii="宋体" w:cs="宋体" w:eastAsia="宋体" w:hAnsi="宋体"/>
          <w:sz w:val="28"/>
          <w:szCs w:val="28"/>
          <w:b w:val="1"/>
          <w:bCs w:val="1"/>
          <w:color w:val="auto"/>
        </w:rPr>
        <w:t>条 行政管理和行政许可要求及程序</w:t>
      </w:r>
    </w:p>
    <w:p>
      <w:pPr>
        <w:spacing w:after="0" w:line="200" w:lineRule="exact"/>
        <w:rPr>
          <w:sz w:val="20"/>
          <w:szCs w:val="20"/>
          <w:color w:val="auto"/>
        </w:rPr>
      </w:pPr>
    </w:p>
    <w:p>
      <w:pPr>
        <w:spacing w:after="0" w:line="261"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一、任何一方都不得采取或维持要求或施压对方个人向己方个人转让技术的行政管理和行政许可要求及程序。</w:t>
      </w:r>
    </w:p>
    <w:p>
      <w:pPr>
        <w:spacing w:after="0" w:line="200" w:lineRule="exact"/>
        <w:rPr>
          <w:sz w:val="20"/>
          <w:szCs w:val="20"/>
          <w:color w:val="auto"/>
        </w:rPr>
      </w:pPr>
    </w:p>
    <w:p>
      <w:pPr>
        <w:spacing w:after="0" w:line="283" w:lineRule="exact"/>
        <w:rPr>
          <w:sz w:val="20"/>
          <w:szCs w:val="20"/>
          <w:color w:val="auto"/>
        </w:rPr>
      </w:pPr>
    </w:p>
    <w:p>
      <w:pPr>
        <w:jc w:val="both"/>
        <w:ind w:left="480" w:right="486" w:firstLine="562"/>
        <w:spacing w:after="0" w:line="479" w:lineRule="exact"/>
        <w:rPr>
          <w:sz w:val="20"/>
          <w:szCs w:val="20"/>
          <w:color w:val="auto"/>
        </w:rPr>
      </w:pPr>
      <w:r>
        <w:rPr>
          <w:rFonts w:ascii="宋体" w:cs="宋体" w:eastAsia="宋体" w:hAnsi="宋体"/>
          <w:sz w:val="27"/>
          <w:szCs w:val="27"/>
          <w:b w:val="1"/>
          <w:bCs w:val="1"/>
          <w:color w:val="auto"/>
        </w:rPr>
        <w:t>二、任何一方都不得正式或非正式地要求或施压对方个人将技术转让给己方个人，并以此作为以下事项的条件，其中包括：（一）批准一项行政管理或行政许可要求；（二）在己方管辖区经营，或进入己方市场；或（三）获得或继续获得己方给予的有利条件。</w:t>
      </w:r>
    </w:p>
    <w:p>
      <w:pPr>
        <w:spacing w:after="0" w:line="200" w:lineRule="exact"/>
        <w:rPr>
          <w:sz w:val="20"/>
          <w:szCs w:val="20"/>
          <w:color w:val="auto"/>
        </w:rPr>
      </w:pPr>
    </w:p>
    <w:p>
      <w:pPr>
        <w:spacing w:after="0" w:line="281" w:lineRule="exact"/>
        <w:rPr>
          <w:sz w:val="20"/>
          <w:szCs w:val="20"/>
          <w:color w:val="auto"/>
        </w:rPr>
      </w:pPr>
    </w:p>
    <w:p>
      <w:pPr>
        <w:jc w:val="both"/>
        <w:ind w:left="480" w:right="486" w:firstLine="562"/>
        <w:spacing w:after="0" w:line="492" w:lineRule="exact"/>
        <w:rPr>
          <w:sz w:val="20"/>
          <w:szCs w:val="20"/>
          <w:color w:val="auto"/>
        </w:rPr>
      </w:pPr>
      <w:r>
        <w:rPr>
          <w:rFonts w:ascii="宋体" w:cs="宋体" w:eastAsia="宋体" w:hAnsi="宋体"/>
          <w:sz w:val="28"/>
          <w:szCs w:val="28"/>
          <w:b w:val="1"/>
          <w:bCs w:val="1"/>
          <w:color w:val="auto"/>
        </w:rPr>
        <w:t>三、任何一方都不得正式或非正式地要求或施压对方个人，使用或偏向由己方个人所有或许可给己方个人的相关技术，并以此作为以下事项的条件，其中包括：（一）批准一项行政管理或行政许可要求；（二）在己方管辖区经营，或进入己方市场；或（三）获得或继续获得己方给予的有利条件。</w:t>
      </w:r>
    </w:p>
    <w:p>
      <w:pPr>
        <w:spacing w:after="0" w:line="200" w:lineRule="exact"/>
        <w:rPr>
          <w:sz w:val="20"/>
          <w:szCs w:val="20"/>
          <w:color w:val="auto"/>
        </w:rPr>
      </w:pPr>
    </w:p>
    <w:p>
      <w:pPr>
        <w:spacing w:after="0" w:line="2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四、双方应使其行政管理和行政许可要求及程序透明。</w:t>
      </w:r>
    </w:p>
    <w:p>
      <w:pPr>
        <w:spacing w:after="0" w:line="200" w:lineRule="exact"/>
        <w:rPr>
          <w:sz w:val="20"/>
          <w:szCs w:val="20"/>
          <w:color w:val="auto"/>
        </w:rPr>
      </w:pPr>
    </w:p>
    <w:p>
      <w:pPr>
        <w:spacing w:after="0" w:line="283" w:lineRule="exact"/>
        <w:rPr>
          <w:sz w:val="20"/>
          <w:szCs w:val="20"/>
          <w:color w:val="auto"/>
        </w:rPr>
      </w:pPr>
    </w:p>
    <w:p>
      <w:pPr>
        <w:jc w:val="both"/>
        <w:ind w:left="480" w:right="486" w:firstLine="552"/>
        <w:spacing w:after="0" w:line="412" w:lineRule="exact"/>
        <w:rPr>
          <w:sz w:val="20"/>
          <w:szCs w:val="20"/>
          <w:color w:val="auto"/>
        </w:rPr>
      </w:pPr>
      <w:r>
        <w:rPr>
          <w:rFonts w:ascii="宋体" w:cs="宋体" w:eastAsia="宋体" w:hAnsi="宋体"/>
          <w:sz w:val="28"/>
          <w:szCs w:val="28"/>
          <w:b w:val="1"/>
          <w:bCs w:val="1"/>
          <w:color w:val="auto"/>
        </w:rPr>
        <w:t>五、双方不得要求或施压外国个人披露为证明其符合相关行政管理或监管要求所不必要的敏感技术信息。</w:t>
      </w:r>
    </w:p>
    <w:p>
      <w:pPr>
        <w:spacing w:after="0" w:line="318" w:lineRule="exact"/>
        <w:rPr>
          <w:sz w:val="20"/>
          <w:szCs w:val="20"/>
          <w:color w:val="auto"/>
        </w:rPr>
      </w:pPr>
    </w:p>
    <w:p>
      <w:pPr>
        <w:jc w:val="both"/>
        <w:ind w:left="480" w:right="486" w:firstLine="552"/>
        <w:spacing w:after="0" w:line="410" w:lineRule="exact"/>
        <w:rPr>
          <w:sz w:val="20"/>
          <w:szCs w:val="20"/>
          <w:color w:val="auto"/>
        </w:rPr>
      </w:pPr>
      <w:r>
        <w:rPr>
          <w:rFonts w:ascii="宋体" w:cs="宋体" w:eastAsia="宋体" w:hAnsi="宋体"/>
          <w:sz w:val="28"/>
          <w:szCs w:val="28"/>
          <w:b w:val="1"/>
          <w:bCs w:val="1"/>
          <w:color w:val="auto"/>
        </w:rPr>
        <w:t>六、双方应对外国个人在行政管理、监管或其他审查过程中披露的任何敏感技术信息予以保密。</w:t>
      </w:r>
    </w:p>
    <w:p>
      <w:pPr>
        <w:spacing w:after="0" w:line="278" w:lineRule="exact"/>
        <w:rPr>
          <w:sz w:val="20"/>
          <w:szCs w:val="20"/>
          <w:color w:val="auto"/>
        </w:rPr>
      </w:pPr>
    </w:p>
    <w:p>
      <w:pPr>
        <w:ind w:left="3140" w:hanging="350"/>
        <w:spacing w:after="0" w:line="341" w:lineRule="exact"/>
        <w:tabs>
          <w:tab w:leader="none" w:pos="3140" w:val="left"/>
        </w:tabs>
        <w:numPr>
          <w:ilvl w:val="0"/>
          <w:numId w:val="5"/>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2.4 </w:t>
      </w:r>
      <w:r>
        <w:rPr>
          <w:rFonts w:ascii="宋体" w:cs="宋体" w:eastAsia="宋体" w:hAnsi="宋体"/>
          <w:sz w:val="28"/>
          <w:szCs w:val="28"/>
          <w:b w:val="1"/>
          <w:bCs w:val="1"/>
          <w:color w:val="auto"/>
        </w:rPr>
        <w:t>条 正当程序和透明度</w:t>
      </w:r>
    </w:p>
    <w:p>
      <w:pPr>
        <w:spacing w:after="0" w:line="253" w:lineRule="exact"/>
        <w:rPr>
          <w:rFonts w:ascii="宋体" w:cs="宋体" w:eastAsia="宋体" w:hAnsi="宋体"/>
          <w:sz w:val="28"/>
          <w:szCs w:val="28"/>
          <w:b w:val="1"/>
          <w:bCs w:val="1"/>
          <w:color w:val="auto"/>
        </w:rPr>
      </w:pPr>
    </w:p>
    <w:p>
      <w:pPr>
        <w:ind w:left="1040"/>
        <w:spacing w:after="0" w:line="320"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一、双方应确保所有涉及对方个人的法律法规的执行是公正、</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2-2</w:t>
      </w:r>
    </w:p>
    <w:p>
      <w:pPr>
        <w:sectPr>
          <w:pgSz w:w="11900" w:h="16838" w:orient="portrait"/>
          <w:cols w:equalWidth="0" w:num="1">
            <w:col w:w="9026"/>
          </w:cols>
          <w:pgMar w:left="1440" w:top="1440" w:right="1440" w:bottom="435" w:gutter="0" w:footer="0" w:header="0"/>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公平、透明和非歧视性的。</w:t>
      </w:r>
    </w:p>
    <w:p>
      <w:pPr>
        <w:spacing w:after="0" w:line="27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二、双方应确保公布与本协议所涉事宜相关的行政程序规则，</w:t>
      </w:r>
    </w:p>
    <w:p>
      <w:pPr>
        <w:spacing w:after="0" w:line="237"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并提供实质性通报，内容至少包括程序所涉事项、适用的法律法规、</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证据规则及相关救济和制裁措施。</w:t>
      </w:r>
    </w:p>
    <w:p>
      <w:pPr>
        <w:spacing w:after="0" w:line="27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三、双方应规定对方个人有以下权利：（一）在针对他们的行</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政程序中，查阅证据并有实质性机会作出回应；（二）在行政程序</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中由律师代理。</w:t>
      </w:r>
    </w:p>
    <w:p>
      <w:pPr>
        <w:spacing w:after="0" w:line="277" w:lineRule="exact"/>
        <w:rPr>
          <w:sz w:val="20"/>
          <w:szCs w:val="20"/>
          <w:color w:val="auto"/>
        </w:rPr>
      </w:pPr>
    </w:p>
    <w:p>
      <w:pPr>
        <w:ind w:left="3280" w:hanging="349"/>
        <w:spacing w:after="0" w:line="341" w:lineRule="exact"/>
        <w:tabs>
          <w:tab w:leader="none" w:pos="3280" w:val="left"/>
        </w:tabs>
        <w:numPr>
          <w:ilvl w:val="0"/>
          <w:numId w:val="6"/>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2.5 </w:t>
      </w:r>
      <w:r>
        <w:rPr>
          <w:rFonts w:ascii="宋体" w:cs="宋体" w:eastAsia="宋体" w:hAnsi="宋体"/>
          <w:sz w:val="28"/>
          <w:szCs w:val="28"/>
          <w:b w:val="1"/>
          <w:bCs w:val="1"/>
          <w:color w:val="auto"/>
        </w:rPr>
        <w:t>条 科学与技术合作</w:t>
      </w:r>
    </w:p>
    <w:p>
      <w:pPr>
        <w:spacing w:after="0" w:line="253" w:lineRule="exact"/>
        <w:rPr>
          <w:rFonts w:ascii="宋体" w:cs="宋体" w:eastAsia="宋体" w:hAnsi="宋体"/>
          <w:sz w:val="28"/>
          <w:szCs w:val="28"/>
          <w:b w:val="1"/>
          <w:bCs w:val="1"/>
          <w:color w:val="auto"/>
        </w:rPr>
      </w:pPr>
    </w:p>
    <w:p>
      <w:pPr>
        <w:ind w:left="1040"/>
        <w:spacing w:after="0" w:line="320"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双方同意考虑在合适的情况下开展科学与技术合作。</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2-3</w:t>
      </w:r>
    </w:p>
    <w:p>
      <w:pPr>
        <w:sectPr>
          <w:pgSz w:w="11900" w:h="16838" w:orient="portrait"/>
          <w:cols w:equalWidth="0" w:num="1">
            <w:col w:w="9026"/>
          </w:cols>
          <w:pgMar w:left="1440" w:top="1440" w:right="1440" w:bottom="435" w:gutter="0" w:footer="0" w:header="0"/>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jc w:val="center"/>
        <w:ind w:right="20"/>
        <w:spacing w:after="0" w:line="451" w:lineRule="exact"/>
        <w:rPr>
          <w:sz w:val="20"/>
          <w:szCs w:val="20"/>
          <w:color w:val="auto"/>
        </w:rPr>
      </w:pPr>
      <w:r>
        <w:rPr>
          <w:rFonts w:ascii="宋体" w:cs="宋体" w:eastAsia="宋体" w:hAnsi="宋体"/>
          <w:sz w:val="30"/>
          <w:szCs w:val="30"/>
          <w:b w:val="1"/>
          <w:bCs w:val="1"/>
          <w:color w:val="auto"/>
        </w:rPr>
        <w:t>第三章 食品和农产品贸易</w:t>
      </w:r>
      <w:r>
        <w:rPr>
          <w:rFonts w:ascii="Times New Roman" w:cs="Times New Roman" w:eastAsia="Times New Roman" w:hAnsi="Times New Roman"/>
          <w:sz w:val="37"/>
          <w:szCs w:val="37"/>
          <w:b w:val="1"/>
          <w:bCs w:val="1"/>
          <w:color w:val="auto"/>
          <w:vertAlign w:val="superscript"/>
        </w:rPr>
        <w:t>1</w:t>
      </w:r>
    </w:p>
    <w:p>
      <w:pPr>
        <w:spacing w:after="0" w:line="259" w:lineRule="exact"/>
        <w:rPr>
          <w:sz w:val="20"/>
          <w:szCs w:val="20"/>
          <w:color w:val="auto"/>
        </w:rPr>
      </w:pPr>
    </w:p>
    <w:p>
      <w:pPr>
        <w:ind w:left="4160" w:hanging="353"/>
        <w:spacing w:after="0" w:line="341" w:lineRule="exact"/>
        <w:tabs>
          <w:tab w:leader="none" w:pos="4160" w:val="left"/>
        </w:tabs>
        <w:numPr>
          <w:ilvl w:val="0"/>
          <w:numId w:val="7"/>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3.1 </w:t>
      </w:r>
      <w:r>
        <w:rPr>
          <w:rFonts w:ascii="宋体" w:cs="宋体" w:eastAsia="宋体" w:hAnsi="宋体"/>
          <w:sz w:val="28"/>
          <w:szCs w:val="28"/>
          <w:b w:val="1"/>
          <w:bCs w:val="1"/>
          <w:color w:val="auto"/>
        </w:rPr>
        <w:t>条 总 则</w:t>
      </w:r>
    </w:p>
    <w:p>
      <w:pPr>
        <w:spacing w:after="0" w:line="366" w:lineRule="exact"/>
        <w:rPr>
          <w:sz w:val="20"/>
          <w:szCs w:val="20"/>
          <w:color w:val="auto"/>
        </w:rPr>
      </w:pPr>
    </w:p>
    <w:p>
      <w:pPr>
        <w:ind w:left="480" w:right="200" w:firstLine="562"/>
        <w:spacing w:after="0" w:line="456" w:lineRule="exact"/>
        <w:rPr>
          <w:sz w:val="20"/>
          <w:szCs w:val="20"/>
          <w:color w:val="auto"/>
        </w:rPr>
      </w:pPr>
      <w:r>
        <w:rPr>
          <w:rFonts w:ascii="宋体" w:cs="宋体" w:eastAsia="宋体" w:hAnsi="宋体"/>
          <w:sz w:val="28"/>
          <w:szCs w:val="28"/>
          <w:b w:val="1"/>
          <w:bCs w:val="1"/>
          <w:color w:val="auto"/>
        </w:rPr>
        <w:t>一、为加强中美两国在影响农业贸易问题上的互信和友好合作，奠定解决长期关切的基础，推动农业成为双边关系的重要支柱，双方：</w:t>
      </w:r>
    </w:p>
    <w:p>
      <w:pPr>
        <w:spacing w:after="0" w:line="389" w:lineRule="exact"/>
        <w:rPr>
          <w:sz w:val="20"/>
          <w:szCs w:val="20"/>
          <w:color w:val="auto"/>
        </w:rPr>
      </w:pPr>
    </w:p>
    <w:p>
      <w:pPr>
        <w:jc w:val="both"/>
        <w:ind w:left="480" w:right="480" w:firstLine="562"/>
        <w:spacing w:after="0" w:line="478" w:lineRule="exact"/>
        <w:rPr>
          <w:sz w:val="20"/>
          <w:szCs w:val="20"/>
          <w:color w:val="auto"/>
        </w:rPr>
      </w:pPr>
      <w:r>
        <w:rPr>
          <w:rFonts w:ascii="宋体" w:cs="宋体" w:eastAsia="宋体" w:hAnsi="宋体"/>
          <w:sz w:val="28"/>
          <w:szCs w:val="28"/>
          <w:b w:val="1"/>
          <w:bCs w:val="1"/>
          <w:color w:val="auto"/>
        </w:rPr>
        <w:t>（一）认识到其各农业产业、保障安全可靠的食品和农产品供给、有助于满足两国人民对食品和农产品需求方面的重要性，有意进一步加强农业合作，拓展各自的食品和农产品市场，促进双方之间食品和农产品贸易增长；</w:t>
      </w:r>
    </w:p>
    <w:p>
      <w:pPr>
        <w:spacing w:after="0" w:line="389" w:lineRule="exact"/>
        <w:rPr>
          <w:sz w:val="20"/>
          <w:szCs w:val="20"/>
          <w:color w:val="auto"/>
        </w:rPr>
      </w:pPr>
    </w:p>
    <w:p>
      <w:pPr>
        <w:jc w:val="both"/>
        <w:ind w:left="480" w:right="480" w:firstLine="562"/>
        <w:spacing w:after="0" w:line="501" w:lineRule="exact"/>
        <w:rPr>
          <w:sz w:val="20"/>
          <w:szCs w:val="20"/>
          <w:color w:val="auto"/>
        </w:rPr>
      </w:pPr>
      <w:r>
        <w:rPr>
          <w:rFonts w:ascii="宋体" w:cs="宋体" w:eastAsia="宋体" w:hAnsi="宋体"/>
          <w:sz w:val="28"/>
          <w:szCs w:val="28"/>
          <w:b w:val="1"/>
          <w:bCs w:val="1"/>
          <w:color w:val="auto"/>
        </w:rPr>
        <w:t>（二）考虑到以科学和风险为基础的卫生与植物卫生措施在保护人类、动物及植物生命与健康中发挥着关键作用，而出于保护主义目的使用卫生与植物卫生措施对消费者和生产者福利均有负面影响；认识到确保卫生与植物卫生措施以科学为基础、非歧视及考虑区域间卫生与植物卫生特性差异的重要性，同意各方都不得使用构成对国际贸易的变相限制的卫生或植物卫生措施；</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（三）考虑到当进出口商因受到不公平阻止而无法充分利用农</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309245</wp:posOffset>
                </wp:positionH>
                <wp:positionV relativeFrom="paragraph">
                  <wp:posOffset>203200</wp:posOffset>
                </wp:positionV>
                <wp:extent cx="18294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35pt,16pt" to="168.4pt,16pt" o:allowincell="f" strokecolor="#000000" strokeweight="0.5999pt"/>
            </w:pict>
          </mc:Fallback>
        </mc:AlternateContent>
      </w:r>
    </w:p>
    <w:p>
      <w:pPr>
        <w:spacing w:after="0" w:line="200" w:lineRule="exact"/>
        <w:rPr>
          <w:sz w:val="20"/>
          <w:szCs w:val="20"/>
          <w:color w:val="auto"/>
        </w:rPr>
      </w:pPr>
    </w:p>
    <w:p>
      <w:pPr>
        <w:spacing w:after="0" w:line="253" w:lineRule="exact"/>
        <w:rPr>
          <w:sz w:val="20"/>
          <w:szCs w:val="20"/>
          <w:color w:val="auto"/>
        </w:rPr>
      </w:pPr>
    </w:p>
    <w:p>
      <w:pPr>
        <w:ind w:left="480" w:right="500" w:firstLine="8"/>
        <w:spacing w:after="0" w:line="275" w:lineRule="exact"/>
        <w:tabs>
          <w:tab w:leader="none" w:pos="665" w:val="left"/>
        </w:tabs>
        <w:numPr>
          <w:ilvl w:val="0"/>
          <w:numId w:val="8"/>
        </w:numPr>
        <w:rPr>
          <w:rFonts w:ascii="宋体" w:cs="宋体" w:eastAsia="宋体" w:hAnsi="宋体"/>
          <w:sz w:val="24"/>
          <w:szCs w:val="24"/>
          <w:b w:val="1"/>
          <w:bCs w:val="1"/>
          <w:color w:val="auto"/>
          <w:vertAlign w:val="superscript"/>
        </w:rPr>
      </w:pPr>
      <w:r>
        <w:rPr>
          <w:rFonts w:ascii="宋体" w:cs="宋体" w:eastAsia="宋体" w:hAnsi="宋体"/>
          <w:sz w:val="24"/>
          <w:szCs w:val="24"/>
          <w:b w:val="1"/>
          <w:bCs w:val="1"/>
          <w:color w:val="auto"/>
        </w:rPr>
        <w:t>本章内容（包括附录各部分与各附件）的任何拟议或最终实施办法（包括现有实施办法的修订内容）均不得适用第八章《最终条款》第五条。</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w:t>
      </w:r>
    </w:p>
    <w:p>
      <w:pPr>
        <w:sectPr>
          <w:pgSz w:w="12240" w:h="15840" w:orient="portrait"/>
          <w:cols w:equalWidth="0" w:num="1">
            <w:col w:w="9360"/>
          </w:cols>
          <w:pgMar w:left="1440" w:top="1440" w:right="1440" w:bottom="439" w:gutter="0" w:footer="0" w:header="0"/>
        </w:sectPr>
      </w:pPr>
    </w:p>
    <w:bookmarkStart w:id="23" w:name="page24"/>
    <w:bookmarkEnd w:id="23"/>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ind w:left="480" w:right="500"/>
        <w:spacing w:after="0" w:line="412" w:lineRule="exact"/>
        <w:rPr>
          <w:sz w:val="20"/>
          <w:szCs w:val="20"/>
          <w:color w:val="auto"/>
        </w:rPr>
      </w:pPr>
      <w:r>
        <w:rPr>
          <w:rFonts w:ascii="宋体" w:cs="宋体" w:eastAsia="宋体" w:hAnsi="宋体"/>
          <w:sz w:val="28"/>
          <w:szCs w:val="28"/>
          <w:b w:val="1"/>
          <w:bCs w:val="1"/>
          <w:color w:val="auto"/>
        </w:rPr>
        <w:t>业市场准入机会时，将减少农业贸易体系带来的好处；认识到关税配额管理不应作为阻止农产品关税配额充分利用的一种手段使用；</w:t>
      </w:r>
    </w:p>
    <w:p>
      <w:pPr>
        <w:spacing w:after="0" w:line="387" w:lineRule="exact"/>
        <w:rPr>
          <w:sz w:val="20"/>
          <w:szCs w:val="20"/>
          <w:color w:val="auto"/>
        </w:rPr>
      </w:pPr>
    </w:p>
    <w:p>
      <w:pPr>
        <w:ind w:left="480" w:right="220" w:firstLine="562"/>
        <w:spacing w:after="0" w:line="478" w:lineRule="exact"/>
        <w:rPr>
          <w:sz w:val="20"/>
          <w:szCs w:val="20"/>
          <w:color w:val="auto"/>
        </w:rPr>
      </w:pPr>
      <w:r>
        <w:rPr>
          <w:rFonts w:ascii="宋体" w:cs="宋体" w:eastAsia="宋体" w:hAnsi="宋体"/>
          <w:sz w:val="28"/>
          <w:szCs w:val="28"/>
          <w:b w:val="1"/>
          <w:bCs w:val="1"/>
          <w:color w:val="auto"/>
        </w:rPr>
        <w:t>（四）注意到农业生物技术有助于养活增长的人口、减少农业的环境影响、促进更可持续的生产，提高生活水平，有意维持以科学和风险为基础的农业生物技术产品监管框架和有效率的审批程序，以便利于此类产品贸易的增长；以及</w:t>
      </w:r>
    </w:p>
    <w:p>
      <w:pPr>
        <w:spacing w:after="0" w:line="389" w:lineRule="exact"/>
        <w:rPr>
          <w:sz w:val="20"/>
          <w:szCs w:val="20"/>
          <w:color w:val="auto"/>
        </w:rPr>
      </w:pPr>
    </w:p>
    <w:p>
      <w:pPr>
        <w:ind w:left="480" w:right="500" w:firstLine="562"/>
        <w:spacing w:after="0" w:line="412" w:lineRule="exact"/>
        <w:rPr>
          <w:sz w:val="20"/>
          <w:szCs w:val="20"/>
          <w:color w:val="auto"/>
        </w:rPr>
      </w:pPr>
      <w:r>
        <w:rPr>
          <w:rFonts w:ascii="宋体" w:cs="宋体" w:eastAsia="宋体" w:hAnsi="宋体"/>
          <w:sz w:val="28"/>
          <w:szCs w:val="28"/>
          <w:b w:val="1"/>
          <w:bCs w:val="1"/>
          <w:color w:val="auto"/>
        </w:rPr>
        <w:t>（五）承认各自遵守其关于世界贸易组织国内农业支持承诺的重要性。</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二、附录第一至十七部分列出了具体承诺。</w:t>
      </w:r>
    </w:p>
    <w:p>
      <w:pPr>
        <w:spacing w:after="0" w:line="343"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附录一 农业合作</w:t>
      </w:r>
    </w:p>
    <w:p>
      <w:pPr>
        <w:spacing w:after="0" w:line="387" w:lineRule="exact"/>
        <w:rPr>
          <w:sz w:val="20"/>
          <w:szCs w:val="20"/>
          <w:color w:val="auto"/>
        </w:rPr>
      </w:pPr>
    </w:p>
    <w:p>
      <w:pPr>
        <w:ind w:left="480" w:right="220" w:firstLine="552"/>
        <w:spacing w:after="0" w:line="456" w:lineRule="exact"/>
        <w:rPr>
          <w:sz w:val="20"/>
          <w:szCs w:val="20"/>
          <w:color w:val="auto"/>
        </w:rPr>
      </w:pPr>
      <w:r>
        <w:rPr>
          <w:rFonts w:ascii="宋体" w:cs="宋体" w:eastAsia="宋体" w:hAnsi="宋体"/>
          <w:sz w:val="28"/>
          <w:szCs w:val="28"/>
          <w:b w:val="1"/>
          <w:bCs w:val="1"/>
          <w:color w:val="auto"/>
        </w:rPr>
        <w:t>一、双方有意在农业科学和农业技术领域加强和促进互相同意的合作活动。这些活动可包括双方同意的信息交流和合作。双方有意基于诚信、对等、公开、透明、科学和法治等原则开展合作活动。</w:t>
      </w:r>
    </w:p>
    <w:p>
      <w:pPr>
        <w:spacing w:after="0" w:line="389" w:lineRule="exact"/>
        <w:rPr>
          <w:sz w:val="20"/>
          <w:szCs w:val="20"/>
          <w:color w:val="auto"/>
        </w:rPr>
      </w:pPr>
    </w:p>
    <w:p>
      <w:pPr>
        <w:jc w:val="both"/>
        <w:ind w:left="480" w:right="500" w:firstLine="552"/>
        <w:spacing w:after="0" w:line="456" w:lineRule="exact"/>
        <w:rPr>
          <w:sz w:val="20"/>
          <w:szCs w:val="20"/>
          <w:color w:val="auto"/>
        </w:rPr>
      </w:pPr>
      <w:r>
        <w:rPr>
          <w:rFonts w:ascii="宋体" w:cs="宋体" w:eastAsia="宋体" w:hAnsi="宋体"/>
          <w:sz w:val="28"/>
          <w:szCs w:val="28"/>
          <w:b w:val="1"/>
          <w:bCs w:val="1"/>
          <w:color w:val="auto"/>
        </w:rPr>
        <w:t>二、双方有意在与农药相关的潜在合作领域进行技术磋商。这些磋商可包括讨论双方农药登记和试验数据，及讨论最大残留限量制定。</w:t>
      </w:r>
    </w:p>
    <w:p>
      <w:pPr>
        <w:spacing w:after="0" w:line="390" w:lineRule="exact"/>
        <w:rPr>
          <w:sz w:val="20"/>
          <w:szCs w:val="20"/>
          <w:color w:val="auto"/>
        </w:rPr>
      </w:pPr>
    </w:p>
    <w:p>
      <w:pPr>
        <w:jc w:val="both"/>
        <w:ind w:left="480" w:right="480" w:firstLine="552"/>
        <w:spacing w:after="0" w:line="456" w:lineRule="exact"/>
        <w:rPr>
          <w:sz w:val="20"/>
          <w:szCs w:val="20"/>
          <w:color w:val="auto"/>
        </w:rPr>
      </w:pPr>
      <w:r>
        <w:rPr>
          <w:rFonts w:ascii="宋体" w:cs="宋体" w:eastAsia="宋体" w:hAnsi="宋体"/>
          <w:sz w:val="28"/>
          <w:szCs w:val="28"/>
          <w:b w:val="1"/>
          <w:bCs w:val="1"/>
          <w:color w:val="auto"/>
        </w:rPr>
        <w:t>三、双方有意继续执行和完善中美农业科学合作交流项目，促进中国和美国科学和技术专家就农业相关问题进一步交流。每一方有意考虑在合适的情况下确保各自政府相关部门或机构参与项目活</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w:t>
      </w:r>
    </w:p>
    <w:p>
      <w:pPr>
        <w:sectPr>
          <w:pgSz w:w="12240" w:h="15840" w:orient="portrait"/>
          <w:cols w:equalWidth="0" w:num="1">
            <w:col w:w="9360"/>
          </w:cols>
          <w:pgMar w:left="1440" w:top="1440" w:right="1440" w:bottom="439" w:gutter="0" w:footer="0" w:header="0"/>
        </w:sectPr>
      </w:pPr>
    </w:p>
    <w:bookmarkStart w:id="24" w:name="page25"/>
    <w:bookmarkEnd w:id="24"/>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动。</w:t>
      </w:r>
    </w:p>
    <w:p>
      <w:pPr>
        <w:spacing w:after="0" w:line="387" w:lineRule="exact"/>
        <w:rPr>
          <w:sz w:val="20"/>
          <w:szCs w:val="20"/>
          <w:color w:val="auto"/>
        </w:rPr>
      </w:pPr>
    </w:p>
    <w:p>
      <w:pPr>
        <w:ind w:left="480" w:right="220" w:firstLine="552"/>
        <w:spacing w:after="0" w:line="501" w:lineRule="exact"/>
        <w:rPr>
          <w:sz w:val="20"/>
          <w:szCs w:val="20"/>
          <w:color w:val="auto"/>
        </w:rPr>
      </w:pPr>
      <w:r>
        <w:rPr>
          <w:rFonts w:ascii="宋体" w:cs="宋体" w:eastAsia="宋体" w:hAnsi="宋体"/>
          <w:sz w:val="28"/>
          <w:szCs w:val="28"/>
          <w:b w:val="1"/>
          <w:bCs w:val="1"/>
          <w:color w:val="auto"/>
        </w:rPr>
        <w:t>四、双方有意考虑在合适的情况下鼓励两国国家和地方层面政府主管机关、农民、学者、农业企业等开展农业议题的交流和对话。双方有意继续执行和完善现有的农业政策双边交流机制，比如中美农业合作联委会，通过美国和中国政府参加相关会议便利农业政策交流，包括中国粮食安全与食品安全战略峰会和中美两国各自召开的农业展望大会。</w:t>
      </w:r>
    </w:p>
    <w:p>
      <w:pPr>
        <w:spacing w:after="0" w:line="387" w:lineRule="exact"/>
        <w:rPr>
          <w:sz w:val="20"/>
          <w:szCs w:val="20"/>
          <w:color w:val="auto"/>
        </w:rPr>
      </w:pPr>
    </w:p>
    <w:p>
      <w:pPr>
        <w:jc w:val="both"/>
        <w:ind w:left="480" w:right="480" w:firstLine="552"/>
        <w:spacing w:after="0" w:line="454" w:lineRule="exact"/>
        <w:rPr>
          <w:sz w:val="20"/>
          <w:szCs w:val="20"/>
          <w:color w:val="auto"/>
        </w:rPr>
      </w:pPr>
      <w:r>
        <w:rPr>
          <w:rFonts w:ascii="宋体" w:cs="宋体" w:eastAsia="宋体" w:hAnsi="宋体"/>
          <w:sz w:val="28"/>
          <w:szCs w:val="28"/>
          <w:b w:val="1"/>
          <w:bCs w:val="1"/>
          <w:color w:val="auto"/>
        </w:rPr>
        <w:t>五、双方有意促进中美技术专家就共同感兴趣的农业议题开展交流，可考虑在合适的情况下包括农业生产、作物保险、农产品贸易、卫生与植物卫生和乡村发展。</w:t>
      </w:r>
    </w:p>
    <w:p>
      <w:pPr>
        <w:spacing w:after="0" w:line="391"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六、双方有意合作，考虑在合适的情况下进行农业可持续发展领域的技术讨论。</w:t>
      </w:r>
    </w:p>
    <w:p>
      <w:pPr>
        <w:spacing w:after="0" w:line="387" w:lineRule="exact"/>
        <w:rPr>
          <w:sz w:val="20"/>
          <w:szCs w:val="20"/>
          <w:color w:val="auto"/>
        </w:rPr>
      </w:pPr>
    </w:p>
    <w:p>
      <w:pPr>
        <w:ind w:left="480" w:right="200" w:firstLine="552"/>
        <w:spacing w:after="0" w:line="478" w:lineRule="exact"/>
        <w:rPr>
          <w:sz w:val="20"/>
          <w:szCs w:val="20"/>
          <w:color w:val="auto"/>
        </w:rPr>
      </w:pPr>
      <w:r>
        <w:rPr>
          <w:rFonts w:ascii="宋体" w:cs="宋体" w:eastAsia="宋体" w:hAnsi="宋体"/>
          <w:sz w:val="28"/>
          <w:szCs w:val="28"/>
          <w:b w:val="1"/>
          <w:bCs w:val="1"/>
          <w:color w:val="auto"/>
        </w:rPr>
        <w:t>七、双方有意通过技术交流访问等方式考虑在合适的情况下加强动物和植物病虫害信息分享。双方有意考虑在合适的情况下交流，提升动植物病虫害防控能力的经验，促进病害检测和病虫害检测防控技术的研发。</w:t>
      </w:r>
    </w:p>
    <w:p>
      <w:pPr>
        <w:spacing w:after="0" w:line="389" w:lineRule="exact"/>
        <w:rPr>
          <w:sz w:val="20"/>
          <w:szCs w:val="20"/>
          <w:color w:val="auto"/>
        </w:rPr>
      </w:pPr>
    </w:p>
    <w:p>
      <w:pPr>
        <w:jc w:val="both"/>
        <w:ind w:left="480" w:right="500" w:firstLine="552"/>
        <w:spacing w:after="0" w:line="478" w:lineRule="exact"/>
        <w:rPr>
          <w:sz w:val="20"/>
          <w:szCs w:val="20"/>
          <w:color w:val="auto"/>
        </w:rPr>
      </w:pPr>
      <w:r>
        <w:rPr>
          <w:rFonts w:ascii="宋体" w:cs="宋体" w:eastAsia="宋体" w:hAnsi="宋体"/>
          <w:sz w:val="28"/>
          <w:szCs w:val="28"/>
          <w:b w:val="1"/>
          <w:bCs w:val="1"/>
          <w:color w:val="auto"/>
        </w:rPr>
        <w:t>八、双方有意以合作的方式就与农业有关的技术措施、卫生与植物卫生措施，包括风险交流议题相互接触。双方有意以合作的方式就上述议题在国际组织如世界贸易组织、亚洲太平洋经济合作组织、联合国粮食及农业组织（粮农组织）和食品法典委员会内，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w:t>
      </w:r>
    </w:p>
    <w:p>
      <w:pPr>
        <w:sectPr>
          <w:pgSz w:w="12240" w:h="15840" w:orient="portrait"/>
          <w:cols w:equalWidth="0" w:num="1">
            <w:col w:w="9360"/>
          </w:cols>
          <w:pgMar w:left="1440" w:top="1440" w:right="1440" w:bottom="439" w:gutter="0" w:footer="0" w:header="0"/>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互接触、加强配合。</w:t>
      </w:r>
    </w:p>
    <w:p>
      <w:pPr>
        <w:spacing w:after="0" w:line="378" w:lineRule="exact"/>
        <w:rPr>
          <w:sz w:val="20"/>
          <w:szCs w:val="20"/>
          <w:color w:val="auto"/>
        </w:rPr>
      </w:pPr>
    </w:p>
    <w:p>
      <w:pPr>
        <w:ind w:left="480" w:right="480" w:firstLine="552"/>
        <w:spacing w:after="0" w:line="416" w:lineRule="exact"/>
        <w:rPr>
          <w:sz w:val="20"/>
          <w:szCs w:val="20"/>
          <w:color w:val="auto"/>
        </w:rPr>
      </w:pPr>
      <w:r>
        <w:rPr>
          <w:rFonts w:ascii="宋体" w:cs="宋体" w:eastAsia="宋体" w:hAnsi="宋体"/>
          <w:sz w:val="28"/>
          <w:szCs w:val="28"/>
          <w:b w:val="1"/>
          <w:bCs w:val="1"/>
          <w:color w:val="auto"/>
        </w:rPr>
        <w:t>九、双方有意在</w:t>
      </w:r>
      <w:r>
        <w:rPr>
          <w:rFonts w:ascii="Times New Roman" w:cs="Times New Roman" w:eastAsia="Times New Roman" w:hAnsi="Times New Roman"/>
          <w:sz w:val="28"/>
          <w:szCs w:val="28"/>
          <w:b w:val="1"/>
          <w:bCs w:val="1"/>
          <w:color w:val="auto"/>
        </w:rPr>
        <w:t xml:space="preserve"> 2019 </w:t>
      </w:r>
      <w:r>
        <w:rPr>
          <w:rFonts w:ascii="宋体" w:cs="宋体" w:eastAsia="宋体" w:hAnsi="宋体"/>
          <w:sz w:val="28"/>
          <w:szCs w:val="28"/>
          <w:b w:val="1"/>
          <w:bCs w:val="1"/>
          <w:color w:val="auto"/>
        </w:rPr>
        <w:t>年《大阪数字经济宣言》框架下建立合作机制，协商数字技术惠及农业领域的方式。</w:t>
      </w:r>
    </w:p>
    <w:p>
      <w:pPr>
        <w:spacing w:after="0" w:line="388" w:lineRule="exact"/>
        <w:rPr>
          <w:sz w:val="20"/>
          <w:szCs w:val="20"/>
          <w:color w:val="auto"/>
        </w:rPr>
      </w:pPr>
    </w:p>
    <w:p>
      <w:pPr>
        <w:ind w:left="480" w:right="500" w:firstLine="552"/>
        <w:spacing w:after="0" w:line="412" w:lineRule="exact"/>
        <w:rPr>
          <w:sz w:val="20"/>
          <w:szCs w:val="20"/>
          <w:color w:val="auto"/>
        </w:rPr>
      </w:pPr>
      <w:r>
        <w:rPr>
          <w:rFonts w:ascii="宋体" w:cs="宋体" w:eastAsia="宋体" w:hAnsi="宋体"/>
          <w:sz w:val="28"/>
          <w:szCs w:val="28"/>
          <w:b w:val="1"/>
          <w:bCs w:val="1"/>
          <w:color w:val="auto"/>
        </w:rPr>
        <w:t>十、双方有意将各自所有政府相关机构纳入到本附录讨论的政府活动当中。</w:t>
      </w:r>
    </w:p>
    <w:p>
      <w:pPr>
        <w:spacing w:after="0" w:line="388" w:lineRule="exact"/>
        <w:rPr>
          <w:sz w:val="20"/>
          <w:szCs w:val="20"/>
          <w:color w:val="auto"/>
        </w:rPr>
      </w:pPr>
    </w:p>
    <w:p>
      <w:pPr>
        <w:ind w:left="480" w:right="220" w:firstLine="672"/>
        <w:spacing w:after="0" w:line="412" w:lineRule="exact"/>
        <w:rPr>
          <w:sz w:val="20"/>
          <w:szCs w:val="20"/>
          <w:color w:val="auto"/>
        </w:rPr>
      </w:pPr>
      <w:r>
        <w:rPr>
          <w:rFonts w:ascii="宋体" w:cs="宋体" w:eastAsia="宋体" w:hAnsi="宋体"/>
          <w:sz w:val="28"/>
          <w:szCs w:val="28"/>
          <w:b w:val="1"/>
          <w:bCs w:val="1"/>
          <w:color w:val="auto"/>
        </w:rPr>
        <w:t>十一、为明确起见，本附录的内容均不得构成双方支出、拨款或资金转移的义务以及将人力或其他资源用于任何合作活动的义务。</w:t>
      </w:r>
    </w:p>
    <w:p>
      <w:pPr>
        <w:spacing w:after="0" w:line="22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附录二 乳品和婴幼儿配方乳粉</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一、本协议生效之日起，中国海关总署与美国食品药品监督管</w:t>
      </w:r>
    </w:p>
    <w:p>
      <w:pPr>
        <w:spacing w:after="0" w:line="22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理局应在可行的情况下尽快启动双边技术讨论，审查</w:t>
      </w:r>
      <w:r>
        <w:rPr>
          <w:rFonts w:ascii="Arial" w:cs="Arial" w:eastAsia="Arial" w:hAnsi="Arial"/>
          <w:sz w:val="28"/>
          <w:szCs w:val="28"/>
          <w:b w:val="1"/>
          <w:bCs w:val="1"/>
          <w:color w:val="auto"/>
        </w:rPr>
        <w:t>“</w:t>
      </w:r>
      <w:r>
        <w:rPr>
          <w:rFonts w:ascii="宋体" w:cs="宋体" w:eastAsia="宋体" w:hAnsi="宋体"/>
          <w:sz w:val="28"/>
          <w:szCs w:val="28"/>
          <w:b w:val="1"/>
          <w:bCs w:val="1"/>
          <w:color w:val="auto"/>
        </w:rPr>
        <w:t>进口警报</w:t>
      </w:r>
      <w:r>
        <w:rPr>
          <w:rFonts w:ascii="Arial" w:cs="Arial" w:eastAsia="Arial" w:hAnsi="Arial"/>
          <w:sz w:val="28"/>
          <w:szCs w:val="28"/>
          <w:b w:val="1"/>
          <w:bCs w:val="1"/>
          <w:color w:val="auto"/>
        </w:rPr>
        <w:t xml:space="preserve"> </w:t>
      </w:r>
      <w:r>
        <w:rPr>
          <w:rFonts w:ascii="Times New Roman" w:cs="Times New Roman" w:eastAsia="Times New Roman" w:hAnsi="Times New Roman"/>
          <w:sz w:val="28"/>
          <w:szCs w:val="28"/>
          <w:b w:val="1"/>
          <w:bCs w:val="1"/>
          <w:color w:val="auto"/>
        </w:rPr>
        <w:t>99-</w:t>
      </w:r>
    </w:p>
    <w:p>
      <w:pPr>
        <w:spacing w:after="0" w:line="204"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b w:val="1"/>
          <w:bCs w:val="1"/>
          <w:color w:val="auto"/>
        </w:rPr>
        <w:t>30</w:t>
      </w:r>
      <w:r>
        <w:rPr>
          <w:rFonts w:ascii="Arial" w:cs="Arial" w:eastAsia="Arial" w:hAnsi="Arial"/>
          <w:sz w:val="28"/>
          <w:szCs w:val="28"/>
          <w:b w:val="1"/>
          <w:bCs w:val="1"/>
          <w:color w:val="auto"/>
        </w:rPr>
        <w:t>”</w:t>
      </w:r>
      <w:r>
        <w:rPr>
          <w:rFonts w:ascii="宋体" w:cs="宋体" w:eastAsia="宋体" w:hAnsi="宋体"/>
          <w:sz w:val="28"/>
          <w:szCs w:val="28"/>
          <w:b w:val="1"/>
          <w:bCs w:val="1"/>
          <w:color w:val="auto"/>
        </w:rPr>
        <w:t>《因含三聚氰胺和</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或三聚氰胺类似物针对所有中国乳制品、乳</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源成分、含乳食品实施自动扣留措施》，以明确取消</w:t>
      </w:r>
      <w:r>
        <w:rPr>
          <w:rFonts w:ascii="Arial" w:cs="Arial" w:eastAsia="Arial" w:hAnsi="Arial"/>
          <w:sz w:val="28"/>
          <w:szCs w:val="28"/>
          <w:b w:val="1"/>
          <w:bCs w:val="1"/>
          <w:color w:val="auto"/>
        </w:rPr>
        <w:t>“</w:t>
      </w:r>
      <w:r>
        <w:rPr>
          <w:rFonts w:ascii="宋体" w:cs="宋体" w:eastAsia="宋体" w:hAnsi="宋体"/>
          <w:sz w:val="28"/>
          <w:szCs w:val="28"/>
          <w:b w:val="1"/>
          <w:bCs w:val="1"/>
          <w:color w:val="auto"/>
        </w:rPr>
        <w:t>进口警报</w:t>
      </w:r>
      <w:r>
        <w:rPr>
          <w:rFonts w:ascii="Arial" w:cs="Arial" w:eastAsia="Arial" w:hAnsi="Arial"/>
          <w:sz w:val="28"/>
          <w:szCs w:val="28"/>
          <w:b w:val="1"/>
          <w:bCs w:val="1"/>
          <w:color w:val="auto"/>
        </w:rPr>
        <w:t xml:space="preserve"> </w:t>
      </w:r>
      <w:r>
        <w:rPr>
          <w:rFonts w:ascii="Times New Roman" w:cs="Times New Roman" w:eastAsia="Times New Roman" w:hAnsi="Times New Roman"/>
          <w:sz w:val="28"/>
          <w:szCs w:val="28"/>
          <w:b w:val="1"/>
          <w:bCs w:val="1"/>
          <w:color w:val="auto"/>
        </w:rPr>
        <w:t>99-</w:t>
      </w:r>
    </w:p>
    <w:p>
      <w:pPr>
        <w:spacing w:after="0" w:line="204"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b w:val="1"/>
          <w:bCs w:val="1"/>
          <w:color w:val="auto"/>
        </w:rPr>
        <w:t>30</w:t>
      </w:r>
      <w:r>
        <w:rPr>
          <w:rFonts w:ascii="Arial" w:cs="Arial" w:eastAsia="Arial" w:hAnsi="Arial"/>
          <w:sz w:val="28"/>
          <w:szCs w:val="28"/>
          <w:b w:val="1"/>
          <w:bCs w:val="1"/>
          <w:color w:val="auto"/>
        </w:rPr>
        <w:t>”</w:t>
      </w:r>
      <w:r>
        <w:rPr>
          <w:rFonts w:ascii="宋体" w:cs="宋体" w:eastAsia="宋体" w:hAnsi="宋体"/>
          <w:sz w:val="28"/>
          <w:szCs w:val="28"/>
          <w:b w:val="1"/>
          <w:bCs w:val="1"/>
          <w:color w:val="auto"/>
        </w:rPr>
        <w:t>的必要步骤。</w:t>
      </w:r>
    </w:p>
    <w:p>
      <w:pPr>
        <w:spacing w:after="0" w:line="323"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乳 品</w:t>
      </w:r>
    </w:p>
    <w:p>
      <w:pPr>
        <w:spacing w:after="0" w:line="346"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二、为更好满足中国消费者日益增长的乳品需求，中国应：</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（一）本协议一经生效，允许进口的美国乳品：</w:t>
      </w:r>
    </w:p>
    <w:p>
      <w:pPr>
        <w:spacing w:after="0" w:line="346" w:lineRule="exact"/>
        <w:rPr>
          <w:sz w:val="20"/>
          <w:szCs w:val="20"/>
          <w:color w:val="auto"/>
        </w:rPr>
      </w:pPr>
    </w:p>
    <w:p>
      <w:pPr>
        <w:jc w:val="center"/>
        <w:ind w:right="10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．由列入美国食品药品监督管理局清单的工厂制造；以及</w:t>
      </w:r>
    </w:p>
    <w:p>
      <w:pPr>
        <w:spacing w:after="0" w:line="32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．附有美国农业部农业市场服务局出具的乳品卫生证书；</w:t>
      </w:r>
    </w:p>
    <w:p>
      <w:pPr>
        <w:spacing w:after="0" w:line="325"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（二）在本协议生效之日起</w:t>
      </w:r>
      <w:r>
        <w:rPr>
          <w:rFonts w:ascii="Times New Roman" w:cs="Times New Roman" w:eastAsia="Times New Roman" w:hAnsi="Times New Roman"/>
          <w:sz w:val="28"/>
          <w:szCs w:val="28"/>
          <w:b w:val="1"/>
          <w:bCs w:val="1"/>
          <w:color w:val="auto"/>
        </w:rPr>
        <w:t xml:space="preserve"> 10 </w:t>
      </w:r>
      <w:r>
        <w:rPr>
          <w:rFonts w:ascii="宋体" w:cs="宋体" w:eastAsia="宋体" w:hAnsi="宋体"/>
          <w:sz w:val="28"/>
          <w:szCs w:val="28"/>
          <w:b w:val="1"/>
          <w:bCs w:val="1"/>
          <w:color w:val="auto"/>
        </w:rPr>
        <w:t>日内，认可美国乳品安全体系提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3-4</w:t>
      </w:r>
    </w:p>
    <w:p>
      <w:pPr>
        <w:sectPr>
          <w:pgSz w:w="12240" w:h="15840" w:orient="portrait"/>
          <w:cols w:equalWidth="0" w:num="1">
            <w:col w:w="9360"/>
          </w:cols>
          <w:pgMar w:left="1440" w:top="1440" w:right="1440" w:bottom="439" w:gutter="0" w:footer="0" w:header="0"/>
        </w:sectPr>
      </w:pPr>
    </w:p>
    <w:bookmarkStart w:id="26" w:name="page27"/>
    <w:bookmarkEnd w:id="26"/>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供至少与中国乳品安全体系同等的保护水平；</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（三）每当美国向中国提供美国食品药品监督管理局管辖内更</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新的乳品工厂和产品完整清单，在收到清单后</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w:t>
      </w:r>
    </w:p>
    <w:p>
      <w:pPr>
        <w:spacing w:after="0" w:line="32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．对清单上的工厂注册并在海关总署网站公布该工厂和产品清</w:t>
      </w:r>
    </w:p>
    <w:p>
      <w:pPr>
        <w:spacing w:after="0" w:line="204"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单；以及</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．允许上述工厂的美国乳品输入中国；</w:t>
      </w:r>
    </w:p>
    <w:p>
      <w:pPr>
        <w:spacing w:after="0" w:line="32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（四）允许进口附有美国农业部农业市场服务局卫生证书的牛、</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绵羊和山羊乳品；</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（五）关于延长货架期乳：</w:t>
      </w:r>
    </w:p>
    <w:p>
      <w:pPr>
        <w:spacing w:after="0" w:line="34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．允许产自美国的延长货架期乳进口并在中国作为巴氏杀菌乳</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销售；</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．若中国开展制定延长货架期乳新标准，向世界贸易组织通报</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标准草案；</w:t>
      </w:r>
    </w:p>
    <w:p>
      <w:pPr>
        <w:spacing w:after="0" w:line="347"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．确保新标准及所有实施行动符合中国世界贸易组织义务；以</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及</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．根据第二条第</w:t>
      </w:r>
      <w:r>
        <w:rPr>
          <w:rFonts w:ascii="Times New Roman" w:cs="Times New Roman" w:eastAsia="Times New Roman" w:hAnsi="Times New Roman"/>
          <w:sz w:val="28"/>
          <w:szCs w:val="28"/>
          <w:b w:val="1"/>
          <w:bCs w:val="1"/>
          <w:color w:val="auto"/>
        </w:rPr>
        <w:t xml:space="preserve"> 1</w:t>
      </w: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 xml:space="preserve">3 </w:t>
      </w:r>
      <w:r>
        <w:rPr>
          <w:rFonts w:ascii="宋体" w:cs="宋体" w:eastAsia="宋体" w:hAnsi="宋体"/>
          <w:sz w:val="28"/>
          <w:szCs w:val="28"/>
          <w:b w:val="1"/>
          <w:bCs w:val="1"/>
          <w:color w:val="auto"/>
        </w:rPr>
        <w:t>和</w:t>
      </w:r>
      <w:r>
        <w:rPr>
          <w:rFonts w:ascii="Times New Roman" w:cs="Times New Roman" w:eastAsia="Times New Roman" w:hAnsi="Times New Roman"/>
          <w:sz w:val="28"/>
          <w:szCs w:val="28"/>
          <w:b w:val="1"/>
          <w:bCs w:val="1"/>
          <w:color w:val="auto"/>
        </w:rPr>
        <w:t xml:space="preserve"> 4 </w:t>
      </w:r>
      <w:r>
        <w:rPr>
          <w:rFonts w:ascii="宋体" w:cs="宋体" w:eastAsia="宋体" w:hAnsi="宋体"/>
          <w:sz w:val="28"/>
          <w:szCs w:val="28"/>
          <w:b w:val="1"/>
          <w:bCs w:val="1"/>
          <w:color w:val="auto"/>
        </w:rPr>
        <w:t>款规定允许进口美国延长货架期乳；</w:t>
      </w:r>
    </w:p>
    <w:p>
      <w:pPr>
        <w:spacing w:after="0" w:line="32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（六）关于强化乳：</w:t>
      </w:r>
    </w:p>
    <w:p>
      <w:pPr>
        <w:spacing w:after="0" w:line="378" w:lineRule="exact"/>
        <w:rPr>
          <w:sz w:val="20"/>
          <w:szCs w:val="20"/>
          <w:color w:val="auto"/>
        </w:rPr>
      </w:pPr>
    </w:p>
    <w:p>
      <w:pPr>
        <w:ind w:left="480" w:right="480" w:firstLine="562"/>
        <w:spacing w:after="0" w:line="426"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．根据第二条第</w:t>
      </w:r>
      <w:r>
        <w:rPr>
          <w:rFonts w:ascii="Times New Roman" w:cs="Times New Roman" w:eastAsia="Times New Roman" w:hAnsi="Times New Roman"/>
          <w:sz w:val="28"/>
          <w:szCs w:val="28"/>
          <w:b w:val="1"/>
          <w:bCs w:val="1"/>
          <w:color w:val="auto"/>
        </w:rPr>
        <w:t xml:space="preserve"> 1</w:t>
      </w: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 xml:space="preserve">3 </w:t>
      </w:r>
      <w:r>
        <w:rPr>
          <w:rFonts w:ascii="宋体" w:cs="宋体" w:eastAsia="宋体" w:hAnsi="宋体"/>
          <w:sz w:val="28"/>
          <w:szCs w:val="28"/>
          <w:b w:val="1"/>
          <w:bCs w:val="1"/>
          <w:color w:val="auto"/>
        </w:rPr>
        <w:t>和</w:t>
      </w:r>
      <w:r>
        <w:rPr>
          <w:rFonts w:ascii="Times New Roman" w:cs="Times New Roman" w:eastAsia="Times New Roman" w:hAnsi="Times New Roman"/>
          <w:sz w:val="28"/>
          <w:szCs w:val="28"/>
          <w:b w:val="1"/>
          <w:bCs w:val="1"/>
          <w:color w:val="auto"/>
        </w:rPr>
        <w:t xml:space="preserve"> 4 </w:t>
      </w:r>
      <w:r>
        <w:rPr>
          <w:rFonts w:ascii="宋体" w:cs="宋体" w:eastAsia="宋体" w:hAnsi="宋体"/>
          <w:sz w:val="28"/>
          <w:szCs w:val="28"/>
          <w:b w:val="1"/>
          <w:bCs w:val="1"/>
          <w:color w:val="auto"/>
        </w:rPr>
        <w:t>款规定，按照中国《食品安全国家标准</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调制乳》（</w:t>
      </w:r>
      <w:r>
        <w:rPr>
          <w:rFonts w:ascii="Times New Roman" w:cs="Times New Roman" w:eastAsia="Times New Roman" w:hAnsi="Times New Roman"/>
          <w:sz w:val="28"/>
          <w:szCs w:val="28"/>
          <w:b w:val="1"/>
          <w:bCs w:val="1"/>
          <w:color w:val="auto"/>
        </w:rPr>
        <w:t>GB25191</w:t>
      </w:r>
      <w:r>
        <w:rPr>
          <w:rFonts w:ascii="宋体" w:cs="宋体" w:eastAsia="宋体" w:hAnsi="宋体"/>
          <w:sz w:val="28"/>
          <w:szCs w:val="28"/>
          <w:b w:val="1"/>
          <w:bCs w:val="1"/>
          <w:color w:val="auto"/>
        </w:rPr>
        <w:t>），允许美国生产的强化乳输入中国；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3-5</w:t>
      </w:r>
    </w:p>
    <w:p>
      <w:pPr>
        <w:sectPr>
          <w:pgSz w:w="12240" w:h="15840" w:orient="portrait"/>
          <w:cols w:equalWidth="0" w:num="1">
            <w:col w:w="9360"/>
          </w:cols>
          <w:pgMar w:left="1440" w:top="1440" w:right="1440" w:bottom="439" w:gutter="0" w:footer="0" w:header="0"/>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．若产品采用了巴氏杀菌工艺，允许标识为</w:t>
      </w:r>
      <w:r>
        <w:rPr>
          <w:rFonts w:ascii="Arial" w:cs="Arial" w:eastAsia="Arial" w:hAnsi="Arial"/>
          <w:sz w:val="28"/>
          <w:szCs w:val="28"/>
          <w:b w:val="1"/>
          <w:bCs w:val="1"/>
          <w:color w:val="auto"/>
        </w:rPr>
        <w:t>“</w:t>
      </w:r>
      <w:r>
        <w:rPr>
          <w:rFonts w:ascii="宋体" w:cs="宋体" w:eastAsia="宋体" w:hAnsi="宋体"/>
          <w:sz w:val="28"/>
          <w:szCs w:val="28"/>
          <w:b w:val="1"/>
          <w:bCs w:val="1"/>
          <w:color w:val="auto"/>
        </w:rPr>
        <w:t>巴氏杀菌调制乳</w:t>
      </w:r>
      <w:r>
        <w:rPr>
          <w:rFonts w:ascii="Arial" w:cs="Arial" w:eastAsia="Arial" w:hAnsi="Arial"/>
          <w:sz w:val="28"/>
          <w:szCs w:val="28"/>
          <w:b w:val="1"/>
          <w:bCs w:val="1"/>
          <w:color w:val="auto"/>
        </w:rPr>
        <w:t>”</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向消费者出售；</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．当中国开展制定强化乳新标准，向世界贸易组织通报标准草</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案；以及</w:t>
      </w:r>
    </w:p>
    <w:p>
      <w:pPr>
        <w:spacing w:after="0" w:line="347"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．确保新标准及所有实施行动符合中国世界贸易组织义务；</w:t>
      </w:r>
    </w:p>
    <w:p>
      <w:pPr>
        <w:spacing w:after="0" w:line="32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（七）关于美国超滤液态乳：</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．根据第二条第</w:t>
      </w:r>
      <w:r>
        <w:rPr>
          <w:rFonts w:ascii="Times New Roman" w:cs="Times New Roman" w:eastAsia="Times New Roman" w:hAnsi="Times New Roman"/>
          <w:sz w:val="28"/>
          <w:szCs w:val="28"/>
          <w:b w:val="1"/>
          <w:bCs w:val="1"/>
          <w:color w:val="auto"/>
        </w:rPr>
        <w:t xml:space="preserve"> 1</w:t>
      </w: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 xml:space="preserve">3 </w:t>
      </w:r>
      <w:r>
        <w:rPr>
          <w:rFonts w:ascii="宋体" w:cs="宋体" w:eastAsia="宋体" w:hAnsi="宋体"/>
          <w:sz w:val="28"/>
          <w:szCs w:val="28"/>
          <w:b w:val="1"/>
          <w:bCs w:val="1"/>
          <w:color w:val="auto"/>
        </w:rPr>
        <w:t>和</w:t>
      </w:r>
      <w:r>
        <w:rPr>
          <w:rFonts w:ascii="Times New Roman" w:cs="Times New Roman" w:eastAsia="Times New Roman" w:hAnsi="Times New Roman"/>
          <w:sz w:val="28"/>
          <w:szCs w:val="28"/>
          <w:b w:val="1"/>
          <w:bCs w:val="1"/>
          <w:color w:val="auto"/>
        </w:rPr>
        <w:t xml:space="preserve"> 4 </w:t>
      </w:r>
      <w:r>
        <w:rPr>
          <w:rFonts w:ascii="宋体" w:cs="宋体" w:eastAsia="宋体" w:hAnsi="宋体"/>
          <w:sz w:val="28"/>
          <w:szCs w:val="28"/>
          <w:b w:val="1"/>
          <w:bCs w:val="1"/>
          <w:color w:val="auto"/>
        </w:rPr>
        <w:t>款规定，按照《食品安全国家标准</w:t>
      </w:r>
    </w:p>
    <w:p>
      <w:pPr>
        <w:spacing w:after="0" w:line="204"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调制乳》（</w:t>
      </w:r>
      <w:r>
        <w:rPr>
          <w:rFonts w:ascii="Times New Roman" w:cs="Times New Roman" w:eastAsia="Times New Roman" w:hAnsi="Times New Roman"/>
          <w:sz w:val="28"/>
          <w:szCs w:val="28"/>
          <w:b w:val="1"/>
          <w:bCs w:val="1"/>
          <w:color w:val="auto"/>
        </w:rPr>
        <w:t>GB25191</w:t>
      </w:r>
      <w:r>
        <w:rPr>
          <w:rFonts w:ascii="宋体" w:cs="宋体" w:eastAsia="宋体" w:hAnsi="宋体"/>
          <w:sz w:val="28"/>
          <w:szCs w:val="28"/>
          <w:b w:val="1"/>
          <w:bCs w:val="1"/>
          <w:color w:val="auto"/>
        </w:rPr>
        <w:t>），允许美国超滤液态乳输入中国，且产品</w:t>
      </w:r>
    </w:p>
    <w:p>
      <w:pPr>
        <w:spacing w:after="0" w:line="183"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应该具有</w:t>
      </w:r>
      <w:r>
        <w:rPr>
          <w:rFonts w:ascii="Arial" w:cs="Arial" w:eastAsia="Arial" w:hAnsi="Arial"/>
          <w:sz w:val="28"/>
          <w:szCs w:val="28"/>
          <w:b w:val="1"/>
          <w:bCs w:val="1"/>
          <w:color w:val="auto"/>
        </w:rPr>
        <w:t>“</w:t>
      </w:r>
      <w:r>
        <w:rPr>
          <w:rFonts w:ascii="宋体" w:cs="宋体" w:eastAsia="宋体" w:hAnsi="宋体"/>
          <w:sz w:val="28"/>
          <w:szCs w:val="28"/>
          <w:b w:val="1"/>
          <w:bCs w:val="1"/>
          <w:color w:val="auto"/>
        </w:rPr>
        <w:t>超滤技术</w:t>
      </w:r>
      <w:r>
        <w:rPr>
          <w:rFonts w:ascii="Arial" w:cs="Arial" w:eastAsia="Arial" w:hAnsi="Arial"/>
          <w:sz w:val="28"/>
          <w:szCs w:val="28"/>
          <w:b w:val="1"/>
          <w:bCs w:val="1"/>
          <w:color w:val="auto"/>
        </w:rPr>
        <w:t>”</w:t>
      </w:r>
      <w:r>
        <w:rPr>
          <w:rFonts w:ascii="宋体" w:cs="宋体" w:eastAsia="宋体" w:hAnsi="宋体"/>
          <w:sz w:val="28"/>
          <w:szCs w:val="28"/>
          <w:b w:val="1"/>
          <w:bCs w:val="1"/>
          <w:color w:val="auto"/>
        </w:rPr>
        <w:t>标识；</w:t>
      </w:r>
    </w:p>
    <w:p>
      <w:pPr>
        <w:spacing w:after="0" w:line="34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．若产品采用了巴氏杀菌工艺，允许标识为</w:t>
      </w:r>
      <w:r>
        <w:rPr>
          <w:rFonts w:ascii="Arial" w:cs="Arial" w:eastAsia="Arial" w:hAnsi="Arial"/>
          <w:sz w:val="28"/>
          <w:szCs w:val="28"/>
          <w:b w:val="1"/>
          <w:bCs w:val="1"/>
          <w:color w:val="auto"/>
        </w:rPr>
        <w:t>“</w:t>
      </w:r>
      <w:r>
        <w:rPr>
          <w:rFonts w:ascii="宋体" w:cs="宋体" w:eastAsia="宋体" w:hAnsi="宋体"/>
          <w:sz w:val="28"/>
          <w:szCs w:val="28"/>
          <w:b w:val="1"/>
          <w:bCs w:val="1"/>
          <w:color w:val="auto"/>
        </w:rPr>
        <w:t>巴氏杀菌调制</w:t>
      </w:r>
    </w:p>
    <w:p>
      <w:pPr>
        <w:spacing w:after="0" w:line="183"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乳</w:t>
      </w:r>
      <w:r>
        <w:rPr>
          <w:rFonts w:ascii="Arial" w:cs="Arial" w:eastAsia="Arial" w:hAnsi="Arial"/>
          <w:sz w:val="28"/>
          <w:szCs w:val="28"/>
          <w:b w:val="1"/>
          <w:bCs w:val="1"/>
          <w:color w:val="auto"/>
        </w:rPr>
        <w:t>”</w:t>
      </w:r>
      <w:r>
        <w:rPr>
          <w:rFonts w:ascii="宋体" w:cs="宋体" w:eastAsia="宋体" w:hAnsi="宋体"/>
          <w:sz w:val="28"/>
          <w:szCs w:val="28"/>
          <w:b w:val="1"/>
          <w:bCs w:val="1"/>
          <w:color w:val="auto"/>
        </w:rPr>
        <w:t>；</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．当中国制定超滤乳新标准草案，向世界贸易组织通报该标准</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草案；以及</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．确保新标准及所有实施行动符合中国世界贸易组织义务；以</w:t>
      </w:r>
    </w:p>
    <w:p>
      <w:pPr>
        <w:spacing w:after="0" w:line="204"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及</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（八）关于美国乳渗透物粉：</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．在本协议生效之日起</w:t>
      </w:r>
      <w:r>
        <w:rPr>
          <w:rFonts w:ascii="Times New Roman" w:cs="Times New Roman" w:eastAsia="Times New Roman" w:hAnsi="Times New Roman"/>
          <w:sz w:val="28"/>
          <w:szCs w:val="28"/>
          <w:b w:val="1"/>
          <w:bCs w:val="1"/>
          <w:color w:val="auto"/>
        </w:rPr>
        <w:t xml:space="preserve"> 60 </w:t>
      </w:r>
      <w:r>
        <w:rPr>
          <w:rFonts w:ascii="宋体" w:cs="宋体" w:eastAsia="宋体" w:hAnsi="宋体"/>
          <w:sz w:val="28"/>
          <w:szCs w:val="28"/>
          <w:b w:val="1"/>
          <w:bCs w:val="1"/>
          <w:color w:val="auto"/>
        </w:rPr>
        <w:t>个工作日内：</w:t>
      </w:r>
    </w:p>
    <w:p>
      <w:pPr>
        <w:spacing w:after="0" w:line="324"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）按照国家卫生计生委办公厅《关于规范进口尚无食品安全</w:t>
      </w:r>
    </w:p>
    <w:p>
      <w:pPr>
        <w:spacing w:after="0" w:line="205"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国家标准审查工作的通知》（国卫办食品发〔</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 xml:space="preserve">14 </w:t>
      </w:r>
      <w:r>
        <w:rPr>
          <w:rFonts w:ascii="宋体" w:cs="宋体" w:eastAsia="宋体" w:hAnsi="宋体"/>
          <w:sz w:val="28"/>
          <w:szCs w:val="28"/>
          <w:b w:val="1"/>
          <w:bCs w:val="1"/>
          <w:color w:val="auto"/>
        </w:rPr>
        <w:t>号）的要求，</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3-6</w:t>
      </w:r>
    </w:p>
    <w:p>
      <w:pPr>
        <w:sectPr>
          <w:pgSz w:w="12240" w:h="15840" w:orient="portrait"/>
          <w:cols w:equalWidth="0" w:num="1">
            <w:col w:w="9360"/>
          </w:cols>
          <w:pgMar w:left="1440" w:top="1440" w:right="1440" w:bottom="439" w:gutter="0" w:footer="0" w:header="0"/>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完成美国食用乳渗透物粉的审批；以及</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）允许美国乳渗透物粉进口；</w:t>
      </w:r>
    </w:p>
    <w:p>
      <w:pPr>
        <w:spacing w:after="0" w:line="32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．若中国开展制定乳渗透物粉新标准，向世界贸易组织通报标</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准草案；以及</w:t>
      </w:r>
    </w:p>
    <w:p>
      <w:pPr>
        <w:spacing w:after="0" w:line="347"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．确保新标准及所有实施行动符合中国世界贸易组织义务。</w:t>
      </w:r>
    </w:p>
    <w:p>
      <w:pPr>
        <w:spacing w:after="0" w:line="323"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婴幼儿配方乳粉</w:t>
      </w:r>
    </w:p>
    <w:p>
      <w:pPr>
        <w:spacing w:after="0" w:line="387" w:lineRule="exact"/>
        <w:rPr>
          <w:sz w:val="20"/>
          <w:szCs w:val="20"/>
          <w:color w:val="auto"/>
        </w:rPr>
      </w:pPr>
    </w:p>
    <w:p>
      <w:pPr>
        <w:jc w:val="both"/>
        <w:ind w:left="480" w:right="500" w:firstLine="562"/>
        <w:spacing w:after="0" w:line="412" w:lineRule="exact"/>
        <w:rPr>
          <w:sz w:val="20"/>
          <w:szCs w:val="20"/>
          <w:color w:val="auto"/>
        </w:rPr>
      </w:pPr>
      <w:r>
        <w:rPr>
          <w:rFonts w:ascii="宋体" w:cs="宋体" w:eastAsia="宋体" w:hAnsi="宋体"/>
          <w:sz w:val="28"/>
          <w:szCs w:val="28"/>
          <w:b w:val="1"/>
          <w:bCs w:val="1"/>
          <w:color w:val="auto"/>
        </w:rPr>
        <w:t>三、为更好满足中国消费者日益增长的婴幼儿配方乳粉需求，中国应：</w:t>
      </w:r>
    </w:p>
    <w:p>
      <w:pPr>
        <w:spacing w:after="0" w:line="388" w:lineRule="exact"/>
        <w:rPr>
          <w:sz w:val="20"/>
          <w:szCs w:val="20"/>
          <w:color w:val="auto"/>
        </w:rPr>
      </w:pPr>
    </w:p>
    <w:p>
      <w:pPr>
        <w:jc w:val="both"/>
        <w:ind w:left="480" w:right="420" w:firstLine="562"/>
        <w:spacing w:after="0" w:line="462" w:lineRule="exact"/>
        <w:rPr>
          <w:sz w:val="20"/>
          <w:szCs w:val="20"/>
          <w:color w:val="auto"/>
        </w:rPr>
      </w:pPr>
      <w:r>
        <w:rPr>
          <w:rFonts w:ascii="宋体" w:cs="宋体" w:eastAsia="宋体" w:hAnsi="宋体"/>
          <w:sz w:val="28"/>
          <w:szCs w:val="28"/>
          <w:b w:val="1"/>
          <w:bCs w:val="1"/>
          <w:color w:val="auto"/>
        </w:rPr>
        <w:t>（一）在审查美国婴幼儿配方乳粉产品注册申请及作出注册决定时，充分考虑美国《联邦食品、药品和化妆品法》（</w:t>
      </w:r>
      <w:r>
        <w:rPr>
          <w:rFonts w:ascii="Times New Roman" w:cs="Times New Roman" w:eastAsia="Times New Roman" w:hAnsi="Times New Roman"/>
          <w:sz w:val="28"/>
          <w:szCs w:val="28"/>
          <w:b w:val="1"/>
          <w:bCs w:val="1"/>
          <w:color w:val="auto"/>
        </w:rPr>
        <w:t>21 U.S.C § 350a</w:t>
      </w: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 xml:space="preserve"> 412 </w:t>
      </w:r>
      <w:r>
        <w:rPr>
          <w:rFonts w:ascii="宋体" w:cs="宋体" w:eastAsia="宋体" w:hAnsi="宋体"/>
          <w:sz w:val="28"/>
          <w:szCs w:val="28"/>
          <w:b w:val="1"/>
          <w:bCs w:val="1"/>
          <w:color w:val="auto"/>
        </w:rPr>
        <w:t>节及其实施规定；</w:t>
      </w:r>
    </w:p>
    <w:p>
      <w:pPr>
        <w:spacing w:after="0" w:line="327"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（二）无论申请实体是否与一个已注册工厂具有关联，接受产</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品注册申请，完成审查并发布决定；</w:t>
      </w:r>
    </w:p>
    <w:p>
      <w:pPr>
        <w:spacing w:after="0" w:line="379" w:lineRule="exact"/>
        <w:rPr>
          <w:sz w:val="20"/>
          <w:szCs w:val="20"/>
          <w:color w:val="auto"/>
        </w:rPr>
      </w:pPr>
    </w:p>
    <w:p>
      <w:pPr>
        <w:ind w:left="480" w:right="480" w:firstLine="562"/>
        <w:spacing w:after="0" w:line="426" w:lineRule="exact"/>
        <w:rPr>
          <w:sz w:val="20"/>
          <w:szCs w:val="20"/>
          <w:color w:val="auto"/>
        </w:rPr>
      </w:pPr>
      <w:r>
        <w:rPr>
          <w:rFonts w:ascii="宋体" w:cs="宋体" w:eastAsia="宋体" w:hAnsi="宋体"/>
          <w:sz w:val="28"/>
          <w:szCs w:val="28"/>
          <w:b w:val="1"/>
          <w:bCs w:val="1"/>
          <w:color w:val="auto"/>
        </w:rPr>
        <w:t>（三）通常在接到申请后的</w:t>
      </w:r>
      <w:r>
        <w:rPr>
          <w:rFonts w:ascii="Times New Roman" w:cs="Times New Roman" w:eastAsia="Times New Roman" w:hAnsi="Times New Roman"/>
          <w:sz w:val="28"/>
          <w:szCs w:val="28"/>
          <w:b w:val="1"/>
          <w:bCs w:val="1"/>
          <w:color w:val="auto"/>
        </w:rPr>
        <w:t xml:space="preserve"> 45 </w:t>
      </w:r>
      <w:r>
        <w:rPr>
          <w:rFonts w:ascii="宋体" w:cs="宋体" w:eastAsia="宋体" w:hAnsi="宋体"/>
          <w:sz w:val="28"/>
          <w:szCs w:val="28"/>
          <w:b w:val="1"/>
          <w:bCs w:val="1"/>
          <w:color w:val="auto"/>
        </w:rPr>
        <w:t>个工作日内，完成对美国工厂婴幼儿配方乳粉产品注册申请的技术审查</w:t>
      </w:r>
      <w:r>
        <w:rPr>
          <w:rFonts w:ascii="Times New Roman" w:cs="Times New Roman" w:eastAsia="Times New Roman" w:hAnsi="Times New Roman"/>
          <w:sz w:val="28"/>
          <w:szCs w:val="28"/>
          <w:b w:val="1"/>
          <w:bCs w:val="1"/>
          <w:color w:val="auto"/>
        </w:rPr>
        <w:t>;</w:t>
      </w:r>
    </w:p>
    <w:p>
      <w:pPr>
        <w:spacing w:after="0" w:line="358" w:lineRule="exact"/>
        <w:rPr>
          <w:sz w:val="20"/>
          <w:szCs w:val="20"/>
          <w:color w:val="auto"/>
        </w:rPr>
      </w:pPr>
    </w:p>
    <w:p>
      <w:pPr>
        <w:jc w:val="both"/>
        <w:ind w:left="480" w:right="480" w:firstLine="552"/>
        <w:spacing w:after="0" w:line="459" w:lineRule="exact"/>
        <w:rPr>
          <w:sz w:val="20"/>
          <w:szCs w:val="20"/>
          <w:color w:val="auto"/>
        </w:rPr>
      </w:pPr>
      <w:r>
        <w:rPr>
          <w:rFonts w:ascii="宋体" w:cs="宋体" w:eastAsia="宋体" w:hAnsi="宋体"/>
          <w:sz w:val="28"/>
          <w:szCs w:val="28"/>
          <w:b w:val="1"/>
          <w:bCs w:val="1"/>
          <w:color w:val="auto"/>
        </w:rPr>
        <w:t>（四）通常在完成技术审查后</w:t>
      </w:r>
      <w:r>
        <w:rPr>
          <w:rFonts w:ascii="Times New Roman" w:cs="Times New Roman" w:eastAsia="Times New Roman" w:hAnsi="Times New Roman"/>
          <w:sz w:val="28"/>
          <w:szCs w:val="28"/>
          <w:b w:val="1"/>
          <w:bCs w:val="1"/>
          <w:color w:val="auto"/>
        </w:rPr>
        <w:t xml:space="preserve"> 40 </w:t>
      </w:r>
      <w:r>
        <w:rPr>
          <w:rFonts w:ascii="宋体" w:cs="宋体" w:eastAsia="宋体" w:hAnsi="宋体"/>
          <w:sz w:val="28"/>
          <w:szCs w:val="28"/>
          <w:b w:val="1"/>
          <w:bCs w:val="1"/>
          <w:color w:val="auto"/>
        </w:rPr>
        <w:t>个工作日内，完成婴幼儿配方乳粉产品注册所需要的有关核查、检查、抽样或检测，其条件是，美国生产商在必要的情况下及时提供准入；</w:t>
      </w:r>
    </w:p>
    <w:p>
      <w:pPr>
        <w:spacing w:after="0" w:line="347"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（五）把此前美国食品药品监督管理局对产品的审查、检查和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3-7</w:t>
      </w:r>
    </w:p>
    <w:p>
      <w:pPr>
        <w:sectPr>
          <w:pgSz w:w="12240" w:h="15840" w:orient="portrait"/>
          <w:cols w:equalWidth="0" w:num="1">
            <w:col w:w="9360"/>
          </w:cols>
          <w:pgMar w:left="1440" w:top="1440" w:right="1440" w:bottom="439" w:gutter="0" w:footer="0" w:header="0"/>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制造工厂合规情况的决定纳入考虑范围，在技术审查或所需的核查、</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检查、抽样或检测完成后</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个工作日内完成产品注册；</w:t>
      </w:r>
    </w:p>
    <w:p>
      <w:pPr>
        <w:spacing w:after="0" w:line="365" w:lineRule="exact"/>
        <w:rPr>
          <w:sz w:val="20"/>
          <w:szCs w:val="20"/>
          <w:color w:val="auto"/>
        </w:rPr>
      </w:pPr>
    </w:p>
    <w:p>
      <w:pPr>
        <w:ind w:left="480" w:right="500" w:firstLine="562"/>
        <w:spacing w:after="0" w:line="412" w:lineRule="exact"/>
        <w:rPr>
          <w:sz w:val="20"/>
          <w:szCs w:val="20"/>
          <w:color w:val="auto"/>
        </w:rPr>
      </w:pPr>
      <w:r>
        <w:rPr>
          <w:rFonts w:ascii="宋体" w:cs="宋体" w:eastAsia="宋体" w:hAnsi="宋体"/>
          <w:sz w:val="28"/>
          <w:szCs w:val="28"/>
          <w:b w:val="1"/>
          <w:bCs w:val="1"/>
          <w:color w:val="auto"/>
        </w:rPr>
        <w:t>（六）确保不会披露婴幼儿配方乳粉产品注册过程中提供的所有商业秘密；</w:t>
      </w:r>
    </w:p>
    <w:p>
      <w:pPr>
        <w:spacing w:after="0" w:line="388" w:lineRule="exact"/>
        <w:rPr>
          <w:sz w:val="20"/>
          <w:szCs w:val="20"/>
          <w:color w:val="auto"/>
        </w:rPr>
      </w:pPr>
    </w:p>
    <w:p>
      <w:pPr>
        <w:ind w:left="480" w:right="500" w:firstLine="562"/>
        <w:spacing w:after="0" w:line="412" w:lineRule="exact"/>
        <w:rPr>
          <w:sz w:val="20"/>
          <w:szCs w:val="20"/>
          <w:color w:val="auto"/>
        </w:rPr>
      </w:pPr>
      <w:r>
        <w:rPr>
          <w:rFonts w:ascii="宋体" w:cs="宋体" w:eastAsia="宋体" w:hAnsi="宋体"/>
          <w:sz w:val="28"/>
          <w:szCs w:val="28"/>
          <w:b w:val="1"/>
          <w:bCs w:val="1"/>
          <w:color w:val="auto"/>
        </w:rPr>
        <w:t>（七）每当美国向中国提供美国食品药品监督管理局管辖内婴幼儿配方乳粉工厂的更新完整清单，如果该婴幼儿配方乳粉产品已</w:t>
      </w:r>
    </w:p>
    <w:p>
      <w:pPr>
        <w:spacing w:after="0" w:line="258" w:lineRule="exact"/>
        <w:rPr>
          <w:sz w:val="20"/>
          <w:szCs w:val="20"/>
          <w:color w:val="auto"/>
        </w:rPr>
      </w:pPr>
    </w:p>
    <w:p>
      <w:pPr>
        <w:ind w:left="480" w:right="200"/>
        <w:spacing w:after="0" w:line="459" w:lineRule="exact"/>
        <w:rPr>
          <w:sz w:val="20"/>
          <w:szCs w:val="20"/>
          <w:color w:val="auto"/>
        </w:rPr>
      </w:pPr>
      <w:r>
        <w:rPr>
          <w:rFonts w:ascii="宋体" w:cs="宋体" w:eastAsia="宋体" w:hAnsi="宋体"/>
          <w:sz w:val="28"/>
          <w:szCs w:val="28"/>
          <w:b w:val="1"/>
          <w:bCs w:val="1"/>
          <w:color w:val="auto"/>
        </w:rPr>
        <w:t>在中国国家市场监督管理总局注册，在收到清单后的</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个工作日内，对清单上的工厂实施注册并在中国海关总署网站公布该清单，允许这些工厂的美国婴幼儿配方乳粉输入中国；</w:t>
      </w:r>
    </w:p>
    <w:p>
      <w:pPr>
        <w:spacing w:after="0" w:line="34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（八）对于注册续期，不要求：</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．婴幼儿配方乳粉工厂注册续期多于每</w:t>
      </w:r>
      <w:r>
        <w:rPr>
          <w:rFonts w:ascii="Times New Roman" w:cs="Times New Roman" w:eastAsia="Times New Roman" w:hAnsi="Times New Roman"/>
          <w:sz w:val="28"/>
          <w:szCs w:val="28"/>
          <w:b w:val="1"/>
          <w:bCs w:val="1"/>
          <w:color w:val="auto"/>
        </w:rPr>
        <w:t xml:space="preserve"> 4 </w:t>
      </w:r>
      <w:r>
        <w:rPr>
          <w:rFonts w:ascii="宋体" w:cs="宋体" w:eastAsia="宋体" w:hAnsi="宋体"/>
          <w:sz w:val="28"/>
          <w:szCs w:val="28"/>
          <w:b w:val="1"/>
          <w:bCs w:val="1"/>
          <w:color w:val="auto"/>
        </w:rPr>
        <w:t>年一次；</w:t>
      </w:r>
    </w:p>
    <w:p>
      <w:pPr>
        <w:spacing w:after="0" w:line="32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．婴幼儿配方乳粉产品注册续期多于每</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年一次；</w:t>
      </w:r>
    </w:p>
    <w:p>
      <w:pPr>
        <w:spacing w:after="0" w:line="365" w:lineRule="exact"/>
        <w:rPr>
          <w:sz w:val="20"/>
          <w:szCs w:val="20"/>
          <w:color w:val="auto"/>
        </w:rPr>
      </w:pPr>
    </w:p>
    <w:p>
      <w:pPr>
        <w:jc w:val="both"/>
        <w:ind w:left="480" w:right="480" w:firstLine="562"/>
        <w:spacing w:after="0" w:line="456" w:lineRule="exact"/>
        <w:rPr>
          <w:sz w:val="20"/>
          <w:szCs w:val="20"/>
          <w:color w:val="auto"/>
        </w:rPr>
      </w:pPr>
      <w:r>
        <w:rPr>
          <w:rFonts w:ascii="宋体" w:cs="宋体" w:eastAsia="宋体" w:hAnsi="宋体"/>
          <w:sz w:val="28"/>
          <w:szCs w:val="28"/>
          <w:b w:val="1"/>
          <w:bCs w:val="1"/>
          <w:color w:val="auto"/>
        </w:rPr>
        <w:t>（九）当决定产品注册或重新注册是否需要进行工厂检查时，将此前中国核查报告、美国监管信息和其他有关信息予以考虑，包括制造商提供的信息；以及</w:t>
      </w:r>
    </w:p>
    <w:p>
      <w:pPr>
        <w:spacing w:after="0" w:line="381" w:lineRule="exact"/>
        <w:rPr>
          <w:sz w:val="20"/>
          <w:szCs w:val="20"/>
          <w:color w:val="auto"/>
        </w:rPr>
      </w:pPr>
    </w:p>
    <w:p>
      <w:pPr>
        <w:jc w:val="both"/>
        <w:ind w:left="480" w:right="480" w:firstLine="562"/>
        <w:spacing w:after="0" w:line="459" w:lineRule="exact"/>
        <w:rPr>
          <w:sz w:val="20"/>
          <w:szCs w:val="20"/>
          <w:color w:val="auto"/>
        </w:rPr>
      </w:pPr>
      <w:r>
        <w:rPr>
          <w:rFonts w:ascii="宋体" w:cs="宋体" w:eastAsia="宋体" w:hAnsi="宋体"/>
          <w:sz w:val="28"/>
          <w:szCs w:val="28"/>
          <w:b w:val="1"/>
          <w:bCs w:val="1"/>
          <w:color w:val="auto"/>
        </w:rPr>
        <w:t>（十）本协议生效之日起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周内，中国海关总署对产品已在中国获批、而工厂注册申请待批的美国婴幼儿配方乳粉工厂，完成工厂注册，并在中国海关总署网站公布完整工厂清单。</w:t>
      </w:r>
    </w:p>
    <w:p>
      <w:pPr>
        <w:spacing w:after="0" w:line="346"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乳品和婴幼儿配方乳粉核查和检查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3-8</w:t>
      </w:r>
    </w:p>
    <w:p>
      <w:pPr>
        <w:sectPr>
          <w:pgSz w:w="12240" w:h="15840" w:orient="portrait"/>
          <w:cols w:equalWidth="0" w:num="1">
            <w:col w:w="9360"/>
          </w:cols>
          <w:pgMar w:left="1440" w:top="1440" w:right="1440" w:bottom="439" w:gutter="0" w:footer="0" w:header="0"/>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四、中国应：</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（一）在对美国乳品或婴幼儿配方乳粉工厂进行检查或核查时，</w:t>
      </w:r>
    </w:p>
    <w:p>
      <w:pPr>
        <w:spacing w:after="0" w:line="258" w:lineRule="exact"/>
        <w:rPr>
          <w:sz w:val="20"/>
          <w:szCs w:val="20"/>
          <w:color w:val="auto"/>
        </w:rPr>
      </w:pPr>
    </w:p>
    <w:p>
      <w:pPr>
        <w:jc w:val="both"/>
        <w:ind w:left="480" w:right="480"/>
        <w:spacing w:after="0" w:line="416" w:lineRule="exact"/>
        <w:rPr>
          <w:sz w:val="20"/>
          <w:szCs w:val="20"/>
          <w:color w:val="auto"/>
        </w:rPr>
      </w:pPr>
      <w:r>
        <w:rPr>
          <w:rFonts w:ascii="宋体" w:cs="宋体" w:eastAsia="宋体" w:hAnsi="宋体"/>
          <w:sz w:val="28"/>
          <w:szCs w:val="28"/>
          <w:b w:val="1"/>
          <w:bCs w:val="1"/>
          <w:color w:val="auto"/>
        </w:rPr>
        <w:t>至少提前</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个工作日通知美国食品药品监督管理局、美国农业部及该工厂；</w:t>
      </w:r>
    </w:p>
    <w:p>
      <w:pPr>
        <w:spacing w:after="0" w:line="389" w:lineRule="exact"/>
        <w:rPr>
          <w:sz w:val="20"/>
          <w:szCs w:val="20"/>
          <w:color w:val="auto"/>
        </w:rPr>
      </w:pPr>
    </w:p>
    <w:p>
      <w:pPr>
        <w:jc w:val="both"/>
        <w:ind w:left="480" w:right="480" w:firstLine="562"/>
        <w:spacing w:after="0" w:line="456" w:lineRule="exact"/>
        <w:rPr>
          <w:sz w:val="20"/>
          <w:szCs w:val="20"/>
          <w:color w:val="auto"/>
        </w:rPr>
      </w:pPr>
      <w:r>
        <w:rPr>
          <w:rFonts w:ascii="宋体" w:cs="宋体" w:eastAsia="宋体" w:hAnsi="宋体"/>
          <w:sz w:val="28"/>
          <w:szCs w:val="28"/>
          <w:b w:val="1"/>
          <w:bCs w:val="1"/>
          <w:color w:val="auto"/>
        </w:rPr>
        <w:t>（二）为简化程序，提高效率，促进贸易便利化，将不以现场核查或检查作为注册乳品工厂或婴幼儿配方乳粉工厂的前提条件；以及</w:t>
      </w:r>
    </w:p>
    <w:p>
      <w:pPr>
        <w:spacing w:after="0" w:line="389" w:lineRule="exact"/>
        <w:rPr>
          <w:sz w:val="20"/>
          <w:szCs w:val="20"/>
          <w:color w:val="auto"/>
        </w:rPr>
      </w:pPr>
    </w:p>
    <w:p>
      <w:pPr>
        <w:jc w:val="both"/>
        <w:ind w:left="480" w:right="480" w:firstLine="562"/>
        <w:spacing w:after="0" w:line="454" w:lineRule="exact"/>
        <w:rPr>
          <w:sz w:val="20"/>
          <w:szCs w:val="20"/>
          <w:color w:val="auto"/>
        </w:rPr>
      </w:pPr>
      <w:r>
        <w:rPr>
          <w:rFonts w:ascii="宋体" w:cs="宋体" w:eastAsia="宋体" w:hAnsi="宋体"/>
          <w:sz w:val="28"/>
          <w:szCs w:val="28"/>
          <w:b w:val="1"/>
          <w:bCs w:val="1"/>
          <w:color w:val="auto"/>
        </w:rPr>
        <w:t>（三）确保所有针对婴幼儿配方乳粉产品注册或乳品、婴幼儿配方乳粉工厂注册所开展的核查或检查，目的是验证美国监管体系或该工厂是否有能力达到适用要求。</w:t>
      </w:r>
    </w:p>
    <w:p>
      <w:pPr>
        <w:spacing w:after="0" w:line="391" w:lineRule="exact"/>
        <w:rPr>
          <w:sz w:val="20"/>
          <w:szCs w:val="20"/>
          <w:color w:val="auto"/>
        </w:rPr>
      </w:pPr>
    </w:p>
    <w:p>
      <w:pPr>
        <w:ind w:left="480" w:right="200" w:firstLine="562"/>
        <w:spacing w:after="0" w:line="518" w:lineRule="exact"/>
        <w:rPr>
          <w:sz w:val="20"/>
          <w:szCs w:val="20"/>
          <w:color w:val="auto"/>
        </w:rPr>
      </w:pPr>
      <w:r>
        <w:rPr>
          <w:rFonts w:ascii="宋体" w:cs="宋体" w:eastAsia="宋体" w:hAnsi="宋体"/>
          <w:sz w:val="28"/>
          <w:szCs w:val="28"/>
          <w:b w:val="1"/>
          <w:bCs w:val="1"/>
          <w:color w:val="auto"/>
        </w:rPr>
        <w:t>五、中国继续有权对美国乳品和婴幼儿配方乳粉食品安全监管体系进行核查，包括与美国食品药品监督管理局协调核查有代表性的美国乳品和婴幼儿配方乳粉工厂。核查应以风险为基础。中国继续有权在入境口岸基于风险抽取美国乳品和婴幼儿配方乳粉货物进行检查。如果中国根据科学检查判定某批美国乳品或婴幼儿配方乳粉产品货物违反适用食品安全进口要求，中国可拒绝进口该批货物。如果中国判定某工厂存在违反适用食品安全要求方面的重大违规行为或违规行为持续或反复出现，中国可拒绝接受该工厂货物，直至问题解决。中国应就此类违规行为通报美国食品药品监督管理局。双方应就乳品和婴幼儿配方乳粉食品安全监管体系和其他公共卫生</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3-9</w:t>
      </w:r>
    </w:p>
    <w:p>
      <w:pPr>
        <w:sectPr>
          <w:pgSz w:w="12240" w:h="15840" w:orient="portrait"/>
          <w:cols w:equalWidth="0" w:num="1">
            <w:col w:w="9360"/>
          </w:cols>
          <w:pgMar w:left="1440" w:top="1440" w:right="1440" w:bottom="439" w:gutter="0" w:footer="0" w:header="0"/>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事宜交换信息。</w:t>
      </w:r>
    </w:p>
    <w:p>
      <w:pPr>
        <w:spacing w:after="0" w:line="345"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附录三 禽 肉</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一、双方应自本协议生效之日起</w:t>
      </w:r>
      <w:r>
        <w:rPr>
          <w:rFonts w:ascii="Times New Roman" w:cs="Times New Roman" w:eastAsia="Times New Roman" w:hAnsi="Times New Roman"/>
          <w:sz w:val="28"/>
          <w:szCs w:val="28"/>
          <w:b w:val="1"/>
          <w:bCs w:val="1"/>
          <w:color w:val="auto"/>
        </w:rPr>
        <w:t xml:space="preserve"> 30 </w:t>
      </w:r>
      <w:r>
        <w:rPr>
          <w:rFonts w:ascii="宋体" w:cs="宋体" w:eastAsia="宋体" w:hAnsi="宋体"/>
          <w:sz w:val="28"/>
          <w:szCs w:val="28"/>
          <w:b w:val="1"/>
          <w:bCs w:val="1"/>
          <w:color w:val="auto"/>
        </w:rPr>
        <w:t>日内，签署并实施《特定重</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大禽类疫病通报和防控程序合作议定书》。</w:t>
      </w:r>
    </w:p>
    <w:p>
      <w:pPr>
        <w:spacing w:after="0" w:line="347"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二、本协议生效之日起</w:t>
      </w:r>
      <w:r>
        <w:rPr>
          <w:rFonts w:ascii="Times New Roman" w:cs="Times New Roman" w:eastAsia="Times New Roman" w:hAnsi="Times New Roman"/>
          <w:sz w:val="28"/>
          <w:szCs w:val="28"/>
          <w:b w:val="1"/>
          <w:bCs w:val="1"/>
          <w:color w:val="auto"/>
        </w:rPr>
        <w:t xml:space="preserve"> 30 </w:t>
      </w:r>
      <w:r>
        <w:rPr>
          <w:rFonts w:ascii="宋体" w:cs="宋体" w:eastAsia="宋体" w:hAnsi="宋体"/>
          <w:sz w:val="28"/>
          <w:szCs w:val="28"/>
          <w:b w:val="1"/>
          <w:bCs w:val="1"/>
          <w:color w:val="auto"/>
        </w:rPr>
        <w:t>日内，中国应基于以往对美国监管体</w:t>
      </w:r>
    </w:p>
    <w:p>
      <w:pPr>
        <w:spacing w:after="0" w:line="236" w:lineRule="exact"/>
        <w:rPr>
          <w:sz w:val="20"/>
          <w:szCs w:val="20"/>
          <w:color w:val="auto"/>
        </w:rPr>
      </w:pPr>
    </w:p>
    <w:p>
      <w:pPr>
        <w:jc w:val="both"/>
        <w:ind w:left="480" w:right="480"/>
        <w:spacing w:after="0" w:line="459" w:lineRule="exact"/>
        <w:rPr>
          <w:sz w:val="20"/>
          <w:szCs w:val="20"/>
          <w:color w:val="auto"/>
        </w:rPr>
      </w:pPr>
      <w:r>
        <w:rPr>
          <w:rFonts w:ascii="宋体" w:cs="宋体" w:eastAsia="宋体" w:hAnsi="宋体"/>
          <w:sz w:val="28"/>
          <w:szCs w:val="28"/>
          <w:b w:val="1"/>
          <w:bCs w:val="1"/>
          <w:color w:val="auto"/>
        </w:rPr>
        <w:t>系的评估，对是否允许进口</w:t>
      </w:r>
      <w:r>
        <w:rPr>
          <w:rFonts w:ascii="Times New Roman" w:cs="Times New Roman" w:eastAsia="Times New Roman" w:hAnsi="Times New Roman"/>
          <w:sz w:val="28"/>
          <w:szCs w:val="28"/>
          <w:b w:val="1"/>
          <w:bCs w:val="1"/>
          <w:color w:val="auto"/>
        </w:rPr>
        <w:t xml:space="preserve"> 2015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日前输入中国的美国禽类和禽类产品发布最终决定。中国应根据双方商定的现有进口议定书准许进口。</w:t>
      </w:r>
    </w:p>
    <w:p>
      <w:pPr>
        <w:spacing w:after="0" w:line="388" w:lineRule="exact"/>
        <w:rPr>
          <w:sz w:val="20"/>
          <w:szCs w:val="20"/>
          <w:color w:val="auto"/>
        </w:rPr>
      </w:pPr>
    </w:p>
    <w:p>
      <w:pPr>
        <w:jc w:val="both"/>
        <w:ind w:left="480" w:right="500" w:firstLine="562"/>
        <w:spacing w:after="0" w:line="421" w:lineRule="exact"/>
        <w:rPr>
          <w:sz w:val="20"/>
          <w:szCs w:val="20"/>
          <w:color w:val="auto"/>
        </w:rPr>
      </w:pPr>
      <w:r>
        <w:rPr>
          <w:rFonts w:ascii="宋体" w:cs="宋体" w:eastAsia="宋体" w:hAnsi="宋体"/>
          <w:sz w:val="28"/>
          <w:szCs w:val="28"/>
          <w:b w:val="1"/>
          <w:bCs w:val="1"/>
          <w:color w:val="auto"/>
        </w:rPr>
        <w:t>三、中国应维持与《世界动物卫生组织陆生动物卫生法典》（</w:t>
      </w:r>
      <w:r>
        <w:rPr>
          <w:rFonts w:ascii="Times New Roman" w:cs="Times New Roman" w:eastAsia="Times New Roman" w:hAnsi="Times New Roman"/>
          <w:sz w:val="28"/>
          <w:szCs w:val="28"/>
          <w:b w:val="1"/>
          <w:bCs w:val="1"/>
          <w:color w:val="auto"/>
        </w:rPr>
        <w:t xml:space="preserve">2018 </w:t>
      </w:r>
      <w:r>
        <w:rPr>
          <w:rFonts w:ascii="宋体" w:cs="宋体" w:eastAsia="宋体" w:hAnsi="宋体"/>
          <w:sz w:val="28"/>
          <w:szCs w:val="28"/>
          <w:b w:val="1"/>
          <w:bCs w:val="1"/>
          <w:color w:val="auto"/>
        </w:rPr>
        <w:t>年版）第</w:t>
      </w:r>
      <w:r>
        <w:rPr>
          <w:rFonts w:ascii="Times New Roman" w:cs="Times New Roman" w:eastAsia="Times New Roman" w:hAnsi="Times New Roman"/>
          <w:sz w:val="28"/>
          <w:szCs w:val="28"/>
          <w:b w:val="1"/>
          <w:bCs w:val="1"/>
          <w:color w:val="auto"/>
        </w:rPr>
        <w:t xml:space="preserve"> 10.4 </w:t>
      </w:r>
      <w:r>
        <w:rPr>
          <w:rFonts w:ascii="宋体" w:cs="宋体" w:eastAsia="宋体" w:hAnsi="宋体"/>
          <w:sz w:val="28"/>
          <w:szCs w:val="28"/>
          <w:b w:val="1"/>
          <w:bCs w:val="1"/>
          <w:color w:val="auto"/>
        </w:rPr>
        <w:t>章或相应后续规定相一致的措施。</w:t>
      </w:r>
    </w:p>
    <w:p>
      <w:pPr>
        <w:spacing w:after="0" w:line="32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四、在收到中国关于评估中国禽类疫病无疫区认定的正式要求，</w:t>
      </w:r>
    </w:p>
    <w:p>
      <w:pPr>
        <w:spacing w:after="0" w:line="226" w:lineRule="exact"/>
        <w:rPr>
          <w:sz w:val="20"/>
          <w:szCs w:val="20"/>
          <w:color w:val="auto"/>
        </w:rPr>
      </w:pPr>
    </w:p>
    <w:p>
      <w:pPr>
        <w:jc w:val="center"/>
        <w:spacing w:after="0" w:line="341" w:lineRule="exact"/>
        <w:rPr>
          <w:sz w:val="20"/>
          <w:szCs w:val="20"/>
          <w:color w:val="auto"/>
        </w:rPr>
      </w:pPr>
      <w:r>
        <w:rPr>
          <w:rFonts w:ascii="宋体" w:cs="宋体" w:eastAsia="宋体" w:hAnsi="宋体"/>
          <w:sz w:val="28"/>
          <w:szCs w:val="28"/>
          <w:b w:val="1"/>
          <w:bCs w:val="1"/>
          <w:color w:val="auto"/>
        </w:rPr>
        <w:t>及支持该要求的涵盖《美国联邦法典》第</w:t>
      </w:r>
      <w:r>
        <w:rPr>
          <w:rFonts w:ascii="Times New Roman" w:cs="Times New Roman" w:eastAsia="Times New Roman" w:hAnsi="Times New Roman"/>
          <w:sz w:val="28"/>
          <w:szCs w:val="28"/>
          <w:b w:val="1"/>
          <w:bCs w:val="1"/>
          <w:color w:val="auto"/>
        </w:rPr>
        <w:t xml:space="preserve"> 9 </w:t>
      </w:r>
      <w:r>
        <w:rPr>
          <w:rFonts w:ascii="宋体" w:cs="宋体" w:eastAsia="宋体" w:hAnsi="宋体"/>
          <w:sz w:val="28"/>
          <w:szCs w:val="28"/>
          <w:b w:val="1"/>
          <w:bCs w:val="1"/>
          <w:color w:val="auto"/>
        </w:rPr>
        <w:t>卷第</w:t>
      </w:r>
      <w:r>
        <w:rPr>
          <w:rFonts w:ascii="Times New Roman" w:cs="Times New Roman" w:eastAsia="Times New Roman" w:hAnsi="Times New Roman"/>
          <w:sz w:val="28"/>
          <w:szCs w:val="28"/>
          <w:b w:val="1"/>
          <w:bCs w:val="1"/>
          <w:color w:val="auto"/>
        </w:rPr>
        <w:t xml:space="preserve"> 92 </w:t>
      </w:r>
      <w:r>
        <w:rPr>
          <w:rFonts w:ascii="宋体" w:cs="宋体" w:eastAsia="宋体" w:hAnsi="宋体"/>
          <w:sz w:val="28"/>
          <w:szCs w:val="28"/>
          <w:b w:val="1"/>
          <w:bCs w:val="1"/>
          <w:color w:val="auto"/>
        </w:rPr>
        <w:t>章</w:t>
      </w:r>
      <w:r>
        <w:rPr>
          <w:rFonts w:ascii="Times New Roman" w:cs="Times New Roman" w:eastAsia="Times New Roman" w:hAnsi="Times New Roman"/>
          <w:sz w:val="28"/>
          <w:szCs w:val="28"/>
          <w:b w:val="1"/>
          <w:bCs w:val="1"/>
          <w:color w:val="auto"/>
        </w:rPr>
        <w:t xml:space="preserve"> 8 </w:t>
      </w:r>
      <w:r>
        <w:rPr>
          <w:rFonts w:ascii="宋体" w:cs="宋体" w:eastAsia="宋体" w:hAnsi="宋体"/>
          <w:sz w:val="28"/>
          <w:szCs w:val="28"/>
          <w:b w:val="1"/>
          <w:bCs w:val="1"/>
          <w:color w:val="auto"/>
        </w:rPr>
        <w:t>个方面或相</w:t>
      </w:r>
    </w:p>
    <w:p>
      <w:pPr>
        <w:spacing w:after="0" w:line="203"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应后续规定的完整配套信息后，美国农业部动植物卫生检验局应在</w:t>
      </w:r>
    </w:p>
    <w:p>
      <w:pPr>
        <w:spacing w:after="0" w:line="204" w:lineRule="exact"/>
        <w:rPr>
          <w:sz w:val="20"/>
          <w:szCs w:val="20"/>
          <w:color w:val="auto"/>
        </w:rPr>
      </w:pPr>
    </w:p>
    <w:p>
      <w:pPr>
        <w:ind w:left="820" w:hanging="332"/>
        <w:spacing w:after="0" w:line="341" w:lineRule="exact"/>
        <w:tabs>
          <w:tab w:leader="none" w:pos="820" w:val="left"/>
        </w:tabs>
        <w:numPr>
          <w:ilvl w:val="0"/>
          <w:numId w:val="9"/>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日内启动该项评估。</w:t>
      </w:r>
    </w:p>
    <w:p>
      <w:pPr>
        <w:spacing w:after="0" w:line="346"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附录四 牛 肉</w:t>
      </w:r>
    </w:p>
    <w:p>
      <w:pPr>
        <w:spacing w:after="0" w:line="378" w:lineRule="exact"/>
        <w:rPr>
          <w:sz w:val="20"/>
          <w:szCs w:val="20"/>
          <w:color w:val="auto"/>
        </w:rPr>
      </w:pPr>
    </w:p>
    <w:p>
      <w:pPr>
        <w:jc w:val="both"/>
        <w:ind w:left="480" w:right="480" w:firstLine="641"/>
        <w:spacing w:after="0" w:line="459" w:lineRule="exact"/>
        <w:rPr>
          <w:sz w:val="20"/>
          <w:szCs w:val="20"/>
          <w:color w:val="auto"/>
        </w:rPr>
      </w:pPr>
      <w:r>
        <w:rPr>
          <w:rFonts w:ascii="宋体" w:cs="宋体" w:eastAsia="宋体" w:hAnsi="宋体"/>
          <w:sz w:val="28"/>
          <w:szCs w:val="28"/>
          <w:b w:val="1"/>
          <w:bCs w:val="1"/>
          <w:color w:val="auto"/>
        </w:rPr>
        <w:t>一、双方应继续执行</w:t>
      </w:r>
      <w:r>
        <w:rPr>
          <w:rFonts w:ascii="Times New Roman" w:cs="Times New Roman" w:eastAsia="Times New Roman" w:hAnsi="Times New Roman"/>
          <w:sz w:val="28"/>
          <w:szCs w:val="28"/>
          <w:b w:val="1"/>
          <w:bCs w:val="1"/>
          <w:color w:val="auto"/>
        </w:rPr>
        <w:t xml:space="preserve"> 2017 </w:t>
      </w:r>
      <w:r>
        <w:rPr>
          <w:rFonts w:ascii="宋体" w:cs="宋体" w:eastAsia="宋体" w:hAnsi="宋体"/>
          <w:sz w:val="28"/>
          <w:szCs w:val="28"/>
          <w:b w:val="1"/>
          <w:bCs w:val="1"/>
          <w:color w:val="auto"/>
        </w:rPr>
        <w:t>年签署的美国牛肉和牛肉产品输华议定书。如果该议定书的相关要求与本协议不符，应以本协议为准。双方可酌情根据本协议修改议定书。</w:t>
      </w:r>
    </w:p>
    <w:p>
      <w:pPr>
        <w:spacing w:after="0" w:line="346" w:lineRule="exact"/>
        <w:rPr>
          <w:sz w:val="20"/>
          <w:szCs w:val="20"/>
          <w:color w:val="auto"/>
        </w:rPr>
      </w:pPr>
    </w:p>
    <w:p>
      <w:pPr>
        <w:ind w:left="1120"/>
        <w:spacing w:after="0" w:line="320" w:lineRule="exact"/>
        <w:rPr>
          <w:sz w:val="20"/>
          <w:szCs w:val="20"/>
          <w:color w:val="auto"/>
        </w:rPr>
      </w:pPr>
      <w:r>
        <w:rPr>
          <w:rFonts w:ascii="宋体" w:cs="宋体" w:eastAsia="宋体" w:hAnsi="宋体"/>
          <w:sz w:val="28"/>
          <w:szCs w:val="28"/>
          <w:b w:val="1"/>
          <w:bCs w:val="1"/>
          <w:color w:val="auto"/>
        </w:rPr>
        <w:t>二、中国承认，美国已按照中国要求提交所有相关和必需资料，</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3-10</w:t>
      </w:r>
    </w:p>
    <w:p>
      <w:pPr>
        <w:sectPr>
          <w:pgSz w:w="12240" w:h="15840" w:orient="portrait"/>
          <w:cols w:equalWidth="0" w:num="1">
            <w:col w:w="9360"/>
          </w:cols>
          <w:pgMar w:left="1440" w:top="1440" w:right="1440" w:bottom="439" w:gutter="0" w:footer="0" w:header="0"/>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以便完成与所有美国牛肉、牛肉产品和含反刍动物成分的宠物食品</w:t>
      </w:r>
    </w:p>
    <w:p>
      <w:pPr>
        <w:spacing w:after="0" w:line="258" w:lineRule="exact"/>
        <w:rPr>
          <w:sz w:val="20"/>
          <w:szCs w:val="20"/>
          <w:color w:val="auto"/>
        </w:rPr>
      </w:pPr>
    </w:p>
    <w:p>
      <w:pPr>
        <w:ind w:left="480" w:right="480"/>
        <w:spacing w:after="0" w:line="416" w:lineRule="exact"/>
        <w:rPr>
          <w:sz w:val="20"/>
          <w:szCs w:val="20"/>
          <w:color w:val="auto"/>
        </w:rPr>
      </w:pPr>
      <w:r>
        <w:rPr>
          <w:rFonts w:ascii="宋体" w:cs="宋体" w:eastAsia="宋体" w:hAnsi="宋体"/>
          <w:sz w:val="28"/>
          <w:szCs w:val="28"/>
          <w:b w:val="1"/>
          <w:bCs w:val="1"/>
          <w:color w:val="auto"/>
        </w:rPr>
        <w:t>进口相关的风险评估。中国应自本协议生效之日起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个月内取消对进口美国牛肉和牛肉产品的牛龄要求。</w:t>
      </w:r>
    </w:p>
    <w:p>
      <w:pPr>
        <w:spacing w:after="0" w:line="388" w:lineRule="exact"/>
        <w:rPr>
          <w:sz w:val="20"/>
          <w:szCs w:val="20"/>
          <w:color w:val="auto"/>
        </w:rPr>
      </w:pPr>
    </w:p>
    <w:p>
      <w:pPr>
        <w:ind w:left="480" w:right="500" w:firstLine="641"/>
        <w:spacing w:after="0" w:line="412" w:lineRule="exact"/>
        <w:rPr>
          <w:sz w:val="20"/>
          <w:szCs w:val="20"/>
          <w:color w:val="auto"/>
        </w:rPr>
      </w:pPr>
      <w:r>
        <w:rPr>
          <w:rFonts w:ascii="宋体" w:cs="宋体" w:eastAsia="宋体" w:hAnsi="宋体"/>
          <w:sz w:val="28"/>
          <w:szCs w:val="28"/>
          <w:b w:val="1"/>
          <w:bCs w:val="1"/>
          <w:color w:val="auto"/>
        </w:rPr>
        <w:t>三、中国认可美国牛肉和牛肉产品的可追溯体系。美国政府根据美国法律不断维持达到或高于世界动物卫生组织有关保持《世界</w:t>
      </w:r>
    </w:p>
    <w:p>
      <w:pPr>
        <w:spacing w:after="0" w:line="227" w:lineRule="exact"/>
        <w:rPr>
          <w:sz w:val="20"/>
          <w:szCs w:val="20"/>
          <w:color w:val="auto"/>
        </w:rPr>
      </w:pPr>
    </w:p>
    <w:p>
      <w:pPr>
        <w:jc w:val="center"/>
        <w:spacing w:after="0" w:line="341" w:lineRule="exact"/>
        <w:rPr>
          <w:sz w:val="20"/>
          <w:szCs w:val="20"/>
          <w:color w:val="auto"/>
        </w:rPr>
      </w:pPr>
      <w:r>
        <w:rPr>
          <w:rFonts w:ascii="宋体" w:cs="宋体" w:eastAsia="宋体" w:hAnsi="宋体"/>
          <w:sz w:val="28"/>
          <w:szCs w:val="28"/>
          <w:b w:val="1"/>
          <w:bCs w:val="1"/>
          <w:color w:val="auto"/>
        </w:rPr>
        <w:t>动物卫生组织陆生动物卫生法典》（</w:t>
      </w:r>
      <w:r>
        <w:rPr>
          <w:rFonts w:ascii="Times New Roman" w:cs="Times New Roman" w:eastAsia="Times New Roman" w:hAnsi="Times New Roman"/>
          <w:sz w:val="28"/>
          <w:szCs w:val="28"/>
          <w:b w:val="1"/>
          <w:bCs w:val="1"/>
          <w:color w:val="auto"/>
        </w:rPr>
        <w:t xml:space="preserve">2018 </w:t>
      </w:r>
      <w:r>
        <w:rPr>
          <w:rFonts w:ascii="宋体" w:cs="宋体" w:eastAsia="宋体" w:hAnsi="宋体"/>
          <w:sz w:val="28"/>
          <w:szCs w:val="28"/>
          <w:b w:val="1"/>
          <w:bCs w:val="1"/>
          <w:color w:val="auto"/>
        </w:rPr>
        <w:t>年版）第</w:t>
      </w:r>
      <w:r>
        <w:rPr>
          <w:rFonts w:ascii="Times New Roman" w:cs="Times New Roman" w:eastAsia="Times New Roman" w:hAnsi="Times New Roman"/>
          <w:sz w:val="28"/>
          <w:szCs w:val="28"/>
          <w:b w:val="1"/>
          <w:bCs w:val="1"/>
          <w:color w:val="auto"/>
        </w:rPr>
        <w:t xml:space="preserve"> 11.4 </w:t>
      </w:r>
      <w:r>
        <w:rPr>
          <w:rFonts w:ascii="宋体" w:cs="宋体" w:eastAsia="宋体" w:hAnsi="宋体"/>
          <w:sz w:val="28"/>
          <w:szCs w:val="28"/>
          <w:b w:val="1"/>
          <w:bCs w:val="1"/>
          <w:color w:val="auto"/>
        </w:rPr>
        <w:t>章所列牛类</w:t>
      </w:r>
    </w:p>
    <w:p>
      <w:pPr>
        <w:spacing w:after="0" w:line="203"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疫病风险可忽略国家地位准则要求的措施，包括可追溯性措施。如</w:t>
      </w:r>
    </w:p>
    <w:p>
      <w:pPr>
        <w:spacing w:after="0" w:line="22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果美国保持其世界动物卫生组织认定的该疫病风险可忽略国家分类</w:t>
      </w:r>
    </w:p>
    <w:p>
      <w:pPr>
        <w:spacing w:after="0" w:line="22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地位，中国不得对美国牛肉进口施加与该疫病相关的新的进口限制</w:t>
      </w:r>
    </w:p>
    <w:p>
      <w:pPr>
        <w:spacing w:after="0" w:line="265" w:lineRule="exact"/>
        <w:rPr>
          <w:sz w:val="20"/>
          <w:szCs w:val="20"/>
          <w:color w:val="auto"/>
        </w:rPr>
      </w:pPr>
    </w:p>
    <w:p>
      <w:pPr>
        <w:jc w:val="both"/>
        <w:ind w:left="480" w:right="480"/>
        <w:spacing w:after="0" w:line="463" w:lineRule="exact"/>
        <w:rPr>
          <w:sz w:val="20"/>
          <w:szCs w:val="20"/>
          <w:color w:val="auto"/>
        </w:rPr>
      </w:pPr>
      <w:r>
        <w:rPr>
          <w:rFonts w:ascii="宋体" w:cs="宋体" w:eastAsia="宋体" w:hAnsi="宋体"/>
          <w:sz w:val="28"/>
          <w:szCs w:val="28"/>
          <w:b w:val="1"/>
          <w:bCs w:val="1"/>
          <w:color w:val="auto"/>
        </w:rPr>
        <w:t>或要求。如果美国风险可忽略国家地位发生变化，则中国应根据《世界动物卫生组织陆生动物卫生法典》（</w:t>
      </w:r>
      <w:r>
        <w:rPr>
          <w:rFonts w:ascii="Times New Roman" w:cs="Times New Roman" w:eastAsia="Times New Roman" w:hAnsi="Times New Roman"/>
          <w:sz w:val="28"/>
          <w:szCs w:val="28"/>
          <w:b w:val="1"/>
          <w:bCs w:val="1"/>
          <w:color w:val="auto"/>
        </w:rPr>
        <w:t xml:space="preserve">2018 </w:t>
      </w:r>
      <w:r>
        <w:rPr>
          <w:rFonts w:ascii="宋体" w:cs="宋体" w:eastAsia="宋体" w:hAnsi="宋体"/>
          <w:sz w:val="28"/>
          <w:szCs w:val="28"/>
          <w:b w:val="1"/>
          <w:bCs w:val="1"/>
          <w:color w:val="auto"/>
        </w:rPr>
        <w:t>年版）第</w:t>
      </w:r>
      <w:r>
        <w:rPr>
          <w:rFonts w:ascii="Times New Roman" w:cs="Times New Roman" w:eastAsia="Times New Roman" w:hAnsi="Times New Roman"/>
          <w:sz w:val="28"/>
          <w:szCs w:val="28"/>
          <w:b w:val="1"/>
          <w:bCs w:val="1"/>
          <w:color w:val="auto"/>
        </w:rPr>
        <w:t xml:space="preserve"> 11.4 </w:t>
      </w:r>
      <w:r>
        <w:rPr>
          <w:rFonts w:ascii="宋体" w:cs="宋体" w:eastAsia="宋体" w:hAnsi="宋体"/>
          <w:sz w:val="28"/>
          <w:szCs w:val="28"/>
          <w:b w:val="1"/>
          <w:bCs w:val="1"/>
          <w:color w:val="auto"/>
        </w:rPr>
        <w:t>章</w:t>
      </w:r>
      <w:r>
        <w:rPr>
          <w:rFonts w:ascii="Times New Roman" w:cs="Times New Roman" w:eastAsia="Times New Roman" w:hAnsi="Times New Roman"/>
          <w:sz w:val="28"/>
          <w:szCs w:val="28"/>
          <w:b w:val="1"/>
          <w:bCs w:val="1"/>
          <w:color w:val="auto"/>
        </w:rPr>
        <w:t xml:space="preserve"> 11.4.11 </w:t>
      </w:r>
      <w:r>
        <w:rPr>
          <w:rFonts w:ascii="宋体" w:cs="宋体" w:eastAsia="宋体" w:hAnsi="宋体"/>
          <w:sz w:val="28"/>
          <w:szCs w:val="28"/>
          <w:b w:val="1"/>
          <w:bCs w:val="1"/>
          <w:color w:val="auto"/>
        </w:rPr>
        <w:t>条或任何后续条款，实施美国牛肉的进口管理规定。</w:t>
      </w:r>
    </w:p>
    <w:p>
      <w:pPr>
        <w:spacing w:after="0" w:line="325" w:lineRule="exact"/>
        <w:rPr>
          <w:sz w:val="20"/>
          <w:szCs w:val="20"/>
          <w:color w:val="auto"/>
        </w:rPr>
      </w:pPr>
    </w:p>
    <w:p>
      <w:pPr>
        <w:ind w:left="1120"/>
        <w:spacing w:after="0" w:line="320" w:lineRule="exact"/>
        <w:rPr>
          <w:sz w:val="20"/>
          <w:szCs w:val="20"/>
          <w:color w:val="auto"/>
        </w:rPr>
      </w:pPr>
      <w:r>
        <w:rPr>
          <w:rFonts w:ascii="宋体" w:cs="宋体" w:eastAsia="宋体" w:hAnsi="宋体"/>
          <w:sz w:val="28"/>
          <w:szCs w:val="28"/>
          <w:b w:val="1"/>
          <w:bCs w:val="1"/>
          <w:color w:val="auto"/>
        </w:rPr>
        <w:t>四、为更好满足中国消费者日益增长的肉类需求，本协议生效</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个月内，中国应允许进口美国农业部食品安全检验局在食</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品安全检验局批准的工厂检查过的牛肉和牛肉产品。附件</w:t>
      </w:r>
      <w:r>
        <w:rPr>
          <w:rFonts w:ascii="Times New Roman" w:cs="Times New Roman" w:eastAsia="Times New Roman" w:hAnsi="Times New Roman"/>
          <w:sz w:val="28"/>
          <w:szCs w:val="28"/>
          <w:b w:val="1"/>
          <w:bCs w:val="1"/>
          <w:color w:val="auto"/>
        </w:rPr>
        <w:t xml:space="preserve"> 1</w:t>
      </w:r>
      <w:r>
        <w:rPr>
          <w:rFonts w:ascii="宋体" w:cs="宋体" w:eastAsia="宋体" w:hAnsi="宋体"/>
          <w:sz w:val="28"/>
          <w:szCs w:val="28"/>
          <w:b w:val="1"/>
          <w:bCs w:val="1"/>
          <w:color w:val="auto"/>
        </w:rPr>
        <w:t>（被认为</w:t>
      </w:r>
    </w:p>
    <w:p>
      <w:pPr>
        <w:spacing w:after="0" w:line="204"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不符合输入中国的牛肉、猪肉和禽类产品清单）所列产品除外。</w:t>
      </w:r>
    </w:p>
    <w:p>
      <w:pPr>
        <w:spacing w:after="0" w:line="346" w:lineRule="exact"/>
        <w:rPr>
          <w:sz w:val="20"/>
          <w:szCs w:val="20"/>
          <w:color w:val="auto"/>
        </w:rPr>
      </w:pPr>
    </w:p>
    <w:p>
      <w:pPr>
        <w:ind w:left="1120"/>
        <w:spacing w:after="0" w:line="341" w:lineRule="exact"/>
        <w:rPr>
          <w:sz w:val="20"/>
          <w:szCs w:val="20"/>
          <w:color w:val="auto"/>
        </w:rPr>
      </w:pPr>
      <w:r>
        <w:rPr>
          <w:rFonts w:ascii="宋体" w:cs="宋体" w:eastAsia="宋体" w:hAnsi="宋体"/>
          <w:sz w:val="28"/>
          <w:szCs w:val="28"/>
          <w:b w:val="1"/>
          <w:bCs w:val="1"/>
          <w:color w:val="auto"/>
        </w:rPr>
        <w:t>五、本协议生效之日起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个月内，中国应对进口牛肉中玉米赤</w:t>
      </w:r>
    </w:p>
    <w:p>
      <w:pPr>
        <w:spacing w:after="0" w:line="203"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霉醇、群勃龙醋酸酯和醋酸美伦孕酮采用最大残留限量。中国应，</w:t>
      </w:r>
    </w:p>
    <w:p>
      <w:pPr>
        <w:spacing w:after="0" w:line="22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对于食品法典已制定以上激素最大残留限量的牛肉组织，采用食品</w:t>
      </w:r>
    </w:p>
    <w:p>
      <w:pPr>
        <w:spacing w:after="0" w:line="22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法典的最大残留限量；对于食品法典尚未制定以上激素最大残留限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3-11</w:t>
      </w:r>
    </w:p>
    <w:p>
      <w:pPr>
        <w:sectPr>
          <w:pgSz w:w="12240" w:h="15840" w:orient="portrait"/>
          <w:cols w:equalWidth="0" w:num="1">
            <w:col w:w="9360"/>
          </w:cols>
          <w:pgMar w:left="1440" w:top="1440" w:right="1440" w:bottom="439" w:gutter="0" w:footer="0" w:header="0"/>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量的牛肉组织，在制定最大残留限量时，遵循食品法典标准和准则，</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并参考其他已进行科学风险评估国家所制定的最大残留限量。</w:t>
      </w:r>
    </w:p>
    <w:p>
      <w:pPr>
        <w:spacing w:after="0" w:line="34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附录五 活种牛</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一、基于美国</w:t>
      </w:r>
      <w:r>
        <w:rPr>
          <w:rFonts w:ascii="Times New Roman" w:cs="Times New Roman" w:eastAsia="Times New Roman" w:hAnsi="Times New Roman"/>
          <w:sz w:val="28"/>
          <w:szCs w:val="28"/>
          <w:b w:val="1"/>
          <w:bCs w:val="1"/>
          <w:color w:val="auto"/>
        </w:rPr>
        <w:t xml:space="preserve"> 2019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13 </w:t>
      </w:r>
      <w:r>
        <w:rPr>
          <w:rFonts w:ascii="宋体" w:cs="宋体" w:eastAsia="宋体" w:hAnsi="宋体"/>
          <w:sz w:val="28"/>
          <w:szCs w:val="28"/>
          <w:b w:val="1"/>
          <w:bCs w:val="1"/>
          <w:color w:val="auto"/>
        </w:rPr>
        <w:t>日和</w:t>
      </w:r>
      <w:r>
        <w:rPr>
          <w:rFonts w:ascii="Times New Roman" w:cs="Times New Roman" w:eastAsia="Times New Roman" w:hAnsi="Times New Roman"/>
          <w:sz w:val="28"/>
          <w:szCs w:val="28"/>
          <w:b w:val="1"/>
          <w:bCs w:val="1"/>
          <w:color w:val="auto"/>
        </w:rPr>
        <w:t xml:space="preserve"> 2019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6 </w:t>
      </w:r>
      <w:r>
        <w:rPr>
          <w:rFonts w:ascii="宋体" w:cs="宋体" w:eastAsia="宋体" w:hAnsi="宋体"/>
          <w:sz w:val="28"/>
          <w:szCs w:val="28"/>
          <w:b w:val="1"/>
          <w:bCs w:val="1"/>
          <w:color w:val="auto"/>
        </w:rPr>
        <w:t>日提出的请求</w:t>
      </w:r>
    </w:p>
    <w:p>
      <w:pPr>
        <w:spacing w:after="0" w:line="205"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和提供的信息，双方应于本协议生效之日起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个月内启动技术磋商，</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讨论准备美国种牛输入中国出口卫生证书和议定书，以便尽快实现</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贸易。</w:t>
      </w:r>
    </w:p>
    <w:p>
      <w:pPr>
        <w:spacing w:after="0" w:line="345"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附录六 猪 肉</w:t>
      </w:r>
    </w:p>
    <w:p>
      <w:pPr>
        <w:spacing w:after="0" w:line="387" w:lineRule="exact"/>
        <w:rPr>
          <w:sz w:val="20"/>
          <w:szCs w:val="20"/>
          <w:color w:val="auto"/>
        </w:rPr>
      </w:pPr>
    </w:p>
    <w:p>
      <w:pPr>
        <w:jc w:val="both"/>
        <w:ind w:left="480" w:right="480" w:firstLine="562"/>
        <w:spacing w:after="0" w:line="410" w:lineRule="exact"/>
        <w:rPr>
          <w:sz w:val="20"/>
          <w:szCs w:val="20"/>
          <w:color w:val="auto"/>
        </w:rPr>
      </w:pPr>
      <w:r>
        <w:rPr>
          <w:rFonts w:ascii="宋体" w:cs="宋体" w:eastAsia="宋体" w:hAnsi="宋体"/>
          <w:sz w:val="28"/>
          <w:szCs w:val="28"/>
          <w:b w:val="1"/>
          <w:bCs w:val="1"/>
          <w:color w:val="auto"/>
        </w:rPr>
        <w:t>一、双方有意在全球非洲猪瘟研究联盟框架下促进合作活动，分享公开的科学知识和信息，有助于逐步控制并根除非洲猪瘟。</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二、为更好满足中国消费者日益增长的肉类需求，本协议生效</w:t>
      </w:r>
    </w:p>
    <w:p>
      <w:pPr>
        <w:spacing w:after="0" w:line="258" w:lineRule="exact"/>
        <w:rPr>
          <w:sz w:val="20"/>
          <w:szCs w:val="20"/>
          <w:color w:val="auto"/>
        </w:rPr>
      </w:pPr>
    </w:p>
    <w:p>
      <w:pPr>
        <w:jc w:val="both"/>
        <w:ind w:left="480" w:right="480"/>
        <w:spacing w:after="0" w:line="416" w:lineRule="exact"/>
        <w:rPr>
          <w:sz w:val="20"/>
          <w:szCs w:val="20"/>
          <w:color w:val="auto"/>
        </w:rPr>
      </w:pPr>
      <w:r>
        <w:rPr>
          <w:rFonts w:ascii="宋体" w:cs="宋体" w:eastAsia="宋体" w:hAnsi="宋体"/>
          <w:sz w:val="28"/>
          <w:szCs w:val="28"/>
          <w:b w:val="1"/>
          <w:bCs w:val="1"/>
          <w:color w:val="auto"/>
        </w:rPr>
        <w:t>之日起</w:t>
      </w:r>
      <w:r>
        <w:rPr>
          <w:rFonts w:ascii="Times New Roman" w:cs="Times New Roman" w:eastAsia="Times New Roman" w:hAnsi="Times New Roman"/>
          <w:sz w:val="28"/>
          <w:szCs w:val="28"/>
          <w:b w:val="1"/>
          <w:bCs w:val="1"/>
          <w:color w:val="auto"/>
        </w:rPr>
        <w:t xml:space="preserve"> 10 </w:t>
      </w:r>
      <w:r>
        <w:rPr>
          <w:rFonts w:ascii="宋体" w:cs="宋体" w:eastAsia="宋体" w:hAnsi="宋体"/>
          <w:sz w:val="28"/>
          <w:szCs w:val="28"/>
          <w:b w:val="1"/>
          <w:bCs w:val="1"/>
          <w:color w:val="auto"/>
        </w:rPr>
        <w:t>个工作日内，中国应允许进口美国农业部食品安全检验局在食品安全检验局批准的工厂检查过的猪肉和猪肉产品。</w:t>
      </w:r>
    </w:p>
    <w:p>
      <w:pPr>
        <w:spacing w:after="0" w:line="346"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附录七 肉类、禽肉和加工肉类</w:t>
      </w:r>
    </w:p>
    <w:p>
      <w:pPr>
        <w:spacing w:after="0" w:line="388" w:lineRule="exact"/>
        <w:rPr>
          <w:sz w:val="20"/>
          <w:szCs w:val="20"/>
          <w:color w:val="auto"/>
        </w:rPr>
      </w:pPr>
    </w:p>
    <w:p>
      <w:pPr>
        <w:jc w:val="both"/>
        <w:ind w:left="480" w:right="500" w:firstLine="562"/>
        <w:spacing w:after="0" w:line="456" w:lineRule="exact"/>
        <w:rPr>
          <w:sz w:val="20"/>
          <w:szCs w:val="20"/>
          <w:color w:val="auto"/>
        </w:rPr>
      </w:pPr>
      <w:r>
        <w:rPr>
          <w:rFonts w:ascii="宋体" w:cs="宋体" w:eastAsia="宋体" w:hAnsi="宋体"/>
          <w:sz w:val="28"/>
          <w:szCs w:val="28"/>
          <w:b w:val="1"/>
          <w:bCs w:val="1"/>
          <w:color w:val="auto"/>
        </w:rPr>
        <w:t>一、本协议一经生效，中国应认可美国农业部食品安全检验局对美国肉类、禽肉和加工肉类及加工禽肉工厂的监管，其目的是允许美国肉类、禽肉、加工肉类和加工禽肉输入。</w:t>
      </w:r>
    </w:p>
    <w:p>
      <w:pPr>
        <w:spacing w:after="0" w:line="389" w:lineRule="exact"/>
        <w:rPr>
          <w:sz w:val="20"/>
          <w:szCs w:val="20"/>
          <w:color w:val="auto"/>
        </w:rPr>
      </w:pPr>
    </w:p>
    <w:p>
      <w:pPr>
        <w:jc w:val="both"/>
        <w:ind w:left="480" w:right="500" w:firstLine="562"/>
        <w:spacing w:after="0" w:line="412" w:lineRule="exact"/>
        <w:rPr>
          <w:sz w:val="20"/>
          <w:szCs w:val="20"/>
          <w:color w:val="auto"/>
        </w:rPr>
      </w:pPr>
      <w:r>
        <w:rPr>
          <w:rFonts w:ascii="宋体" w:cs="宋体" w:eastAsia="宋体" w:hAnsi="宋体"/>
          <w:sz w:val="28"/>
          <w:szCs w:val="28"/>
          <w:b w:val="1"/>
          <w:bCs w:val="1"/>
          <w:color w:val="auto"/>
        </w:rPr>
        <w:t>二、本协议一经生效，中国应接受美国农业部食品安全检验局在食品安全检验局批准的工厂检查过的并随附出口卫生证书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3-12</w:t>
      </w:r>
    </w:p>
    <w:p>
      <w:pPr>
        <w:sectPr>
          <w:pgSz w:w="12240" w:h="15840" w:orient="portrait"/>
          <w:cols w:equalWidth="0" w:num="1">
            <w:col w:w="9360"/>
          </w:cols>
          <w:pgMar w:left="1440" w:top="1440" w:right="1440" w:bottom="439" w:gutter="0" w:footer="0" w:header="0"/>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b w:val="1"/>
          <w:bCs w:val="1"/>
          <w:color w:val="auto"/>
        </w:rPr>
        <w:t>(FSIS9060-5/FSIS9295-1)</w:t>
      </w:r>
      <w:r>
        <w:rPr>
          <w:rFonts w:ascii="宋体" w:cs="宋体" w:eastAsia="宋体" w:hAnsi="宋体"/>
          <w:sz w:val="28"/>
          <w:szCs w:val="28"/>
          <w:b w:val="1"/>
          <w:bCs w:val="1"/>
          <w:color w:val="auto"/>
        </w:rPr>
        <w:t>的肉类、禽肉、加工肉类和加工禽肉，附件</w:t>
      </w:r>
    </w:p>
    <w:p>
      <w:pPr>
        <w:spacing w:after="0" w:line="204" w:lineRule="exact"/>
        <w:rPr>
          <w:sz w:val="20"/>
          <w:szCs w:val="20"/>
          <w:color w:val="auto"/>
        </w:rPr>
      </w:pPr>
    </w:p>
    <w:p>
      <w:pPr>
        <w:ind w:left="48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（被认为不符合输入中国的牛肉、猪肉和禽类产品清单）所列产品</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除外。</w:t>
      </w:r>
    </w:p>
    <w:p>
      <w:pPr>
        <w:spacing w:after="0" w:line="345" w:lineRule="exact"/>
        <w:rPr>
          <w:sz w:val="20"/>
          <w:szCs w:val="20"/>
          <w:color w:val="auto"/>
        </w:rPr>
      </w:pPr>
    </w:p>
    <w:p>
      <w:pPr>
        <w:ind w:left="1120"/>
        <w:spacing w:after="0" w:line="320" w:lineRule="exact"/>
        <w:rPr>
          <w:sz w:val="20"/>
          <w:szCs w:val="20"/>
          <w:color w:val="auto"/>
        </w:rPr>
      </w:pPr>
      <w:r>
        <w:rPr>
          <w:rFonts w:ascii="宋体" w:cs="宋体" w:eastAsia="宋体" w:hAnsi="宋体"/>
          <w:sz w:val="28"/>
          <w:szCs w:val="28"/>
          <w:b w:val="1"/>
          <w:bCs w:val="1"/>
          <w:color w:val="auto"/>
        </w:rPr>
        <w:t>三、每当美国向中国提供美国农业部食品安全检验局认可工厂</w:t>
      </w:r>
    </w:p>
    <w:p>
      <w:pPr>
        <w:spacing w:after="0" w:line="259" w:lineRule="exact"/>
        <w:rPr>
          <w:sz w:val="20"/>
          <w:szCs w:val="20"/>
          <w:color w:val="auto"/>
        </w:rPr>
      </w:pPr>
    </w:p>
    <w:p>
      <w:pPr>
        <w:jc w:val="both"/>
        <w:ind w:left="480" w:right="480"/>
        <w:spacing w:after="0" w:line="416" w:lineRule="exact"/>
        <w:rPr>
          <w:sz w:val="20"/>
          <w:szCs w:val="20"/>
          <w:color w:val="auto"/>
        </w:rPr>
      </w:pPr>
      <w:r>
        <w:rPr>
          <w:rFonts w:ascii="宋体" w:cs="宋体" w:eastAsia="宋体" w:hAnsi="宋体"/>
          <w:sz w:val="28"/>
          <w:szCs w:val="28"/>
          <w:b w:val="1"/>
          <w:bCs w:val="1"/>
          <w:color w:val="auto"/>
        </w:rPr>
        <w:t>的完整更新清单，中国应在收到后</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个工作日内，在中国海关总署网站上公布清单，允许清单上所有工厂的产品输入中国。</w:t>
      </w:r>
    </w:p>
    <w:p>
      <w:pPr>
        <w:spacing w:after="0" w:line="388" w:lineRule="exact"/>
        <w:rPr>
          <w:sz w:val="20"/>
          <w:szCs w:val="20"/>
          <w:color w:val="auto"/>
        </w:rPr>
      </w:pPr>
    </w:p>
    <w:p>
      <w:pPr>
        <w:jc w:val="both"/>
        <w:ind w:left="480" w:right="480" w:firstLine="562"/>
        <w:spacing w:after="0" w:line="518" w:lineRule="exact"/>
        <w:rPr>
          <w:sz w:val="20"/>
          <w:szCs w:val="20"/>
          <w:color w:val="auto"/>
        </w:rPr>
      </w:pPr>
      <w:r>
        <w:rPr>
          <w:rFonts w:ascii="宋体" w:cs="宋体" w:eastAsia="宋体" w:hAnsi="宋体"/>
          <w:sz w:val="28"/>
          <w:szCs w:val="28"/>
          <w:b w:val="1"/>
          <w:bCs w:val="1"/>
          <w:color w:val="auto"/>
        </w:rPr>
        <w:t>四、中国继续有权对美国肉类和禽肉食品安全监管体系进行核查，包括与美国农业部食品安全检验局协调核查有代表性的美国肉类和禽肉工厂。核查应以风险为基础。中国继续有权在入境口岸基于风险抽取美国肉类和禽肉产品进行检查。如果中国根据科学检查判定某批美国肉类或禽肉产品货物违反适用食品安全进口要求，中国可拒绝进口该批货物。如果中国判定某工厂存在违反适用食品安全要求方面的重大违规行为或违规行为持续或反复出现，中国可拒绝接受该工厂货物，直至问题解决。中国应就此类违规行为通报美国农业部食品安全检验局。双方应就肉类和禽肉食品安全监管体系和其他公共卫生事宜交换信息。</w:t>
      </w:r>
    </w:p>
    <w:p>
      <w:pPr>
        <w:spacing w:after="0" w:line="390" w:lineRule="exact"/>
        <w:rPr>
          <w:sz w:val="20"/>
          <w:szCs w:val="20"/>
          <w:color w:val="auto"/>
        </w:rPr>
      </w:pPr>
    </w:p>
    <w:p>
      <w:pPr>
        <w:jc w:val="both"/>
        <w:ind w:left="480" w:right="480" w:firstLine="562"/>
        <w:spacing w:after="0" w:line="478" w:lineRule="exact"/>
        <w:rPr>
          <w:sz w:val="20"/>
          <w:szCs w:val="20"/>
          <w:color w:val="auto"/>
        </w:rPr>
      </w:pPr>
      <w:r>
        <w:rPr>
          <w:rFonts w:ascii="宋体" w:cs="宋体" w:eastAsia="宋体" w:hAnsi="宋体"/>
          <w:sz w:val="28"/>
          <w:szCs w:val="28"/>
          <w:b w:val="1"/>
          <w:bCs w:val="1"/>
          <w:color w:val="auto"/>
        </w:rPr>
        <w:t>五、中国应以符合食品法典、联合国粮食及农业组织与世界卫生组织（世卫组织）食品添加剂联合专家委员会风险评估指导意见与该联合专家委员会此前进行的莱克多巴胺风险评估的方式，与美国专家协商尽快、不拖延进行牛、猪体内莱克多巴胺的风险评估。</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3-13</w:t>
      </w:r>
    </w:p>
    <w:p>
      <w:pPr>
        <w:sectPr>
          <w:pgSz w:w="12240" w:h="15840" w:orient="portrait"/>
          <w:cols w:equalWidth="0" w:num="1">
            <w:col w:w="9360"/>
          </w:cols>
          <w:pgMar w:left="1440" w:top="1440" w:right="1440" w:bottom="439" w:gutter="0" w:footer="0" w:header="0"/>
        </w:sectPr>
      </w:pPr>
    </w:p>
    <w:bookmarkStart w:id="35" w:name="page36"/>
    <w:bookmarkEnd w:id="35"/>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该风险评估应以美国的可验证数据和美国批准的莱克多巴胺使用条</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件为基础。中美双方应成立联合工作组，讨论根据风险评估结果要</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采取的措施。</w:t>
      </w:r>
    </w:p>
    <w:p>
      <w:pPr>
        <w:spacing w:after="0" w:line="345"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附录八 肉类和禽肉电子信息系统</w:t>
      </w:r>
    </w:p>
    <w:p>
      <w:pPr>
        <w:spacing w:after="0" w:line="388" w:lineRule="exact"/>
        <w:rPr>
          <w:sz w:val="20"/>
          <w:szCs w:val="20"/>
          <w:color w:val="auto"/>
        </w:rPr>
      </w:pPr>
    </w:p>
    <w:p>
      <w:pPr>
        <w:ind w:left="480" w:right="200" w:firstLine="646"/>
        <w:spacing w:after="0" w:line="478" w:lineRule="exact"/>
        <w:rPr>
          <w:sz w:val="20"/>
          <w:szCs w:val="20"/>
          <w:color w:val="auto"/>
        </w:rPr>
      </w:pPr>
      <w:r>
        <w:rPr>
          <w:rFonts w:ascii="宋体" w:cs="宋体" w:eastAsia="宋体" w:hAnsi="宋体"/>
          <w:sz w:val="28"/>
          <w:szCs w:val="28"/>
          <w:b w:val="1"/>
          <w:bCs w:val="1"/>
          <w:color w:val="auto"/>
        </w:rPr>
        <w:t>一、为便利贸易，深化中美两国在证书方面的合作，中国海关总署应与美国农业部共同确定电子和自动化系统的技术要求，并实施该系统，用于查看美国农业部食品安全检验局为美国肉类、禽肉、肉类产品和禽肉产品输入中国发放的出口证书。</w:t>
      </w:r>
    </w:p>
    <w:p>
      <w:pPr>
        <w:spacing w:after="0" w:line="347"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二、如果美国执行了该系统并证明其可靠性和安全性，则中国</w:t>
      </w:r>
    </w:p>
    <w:p>
      <w:pPr>
        <w:spacing w:after="0" w:line="256" w:lineRule="exact"/>
        <w:rPr>
          <w:sz w:val="20"/>
          <w:szCs w:val="20"/>
          <w:color w:val="auto"/>
        </w:rPr>
      </w:pPr>
    </w:p>
    <w:p>
      <w:pPr>
        <w:ind w:left="480" w:right="200"/>
        <w:spacing w:after="0" w:line="479" w:lineRule="exact"/>
        <w:rPr>
          <w:sz w:val="20"/>
          <w:szCs w:val="20"/>
          <w:color w:val="auto"/>
        </w:rPr>
      </w:pPr>
      <w:r>
        <w:rPr>
          <w:rFonts w:ascii="宋体" w:cs="宋体" w:eastAsia="宋体" w:hAnsi="宋体"/>
          <w:sz w:val="28"/>
          <w:szCs w:val="28"/>
          <w:b w:val="1"/>
          <w:bCs w:val="1"/>
          <w:color w:val="auto"/>
        </w:rPr>
        <w:t>应在</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月底前使用该系统。中国应通过该系统接受美国肉类、禽肉、肉类产品和禽肉产品货物获准输入中国所有必需信息，包括美国农业部食品安全检验局出具的证书。中国应及时向口岸海关官员提供相关证书信息。</w:t>
      </w:r>
    </w:p>
    <w:p>
      <w:pPr>
        <w:spacing w:after="0" w:line="392" w:lineRule="exact"/>
        <w:rPr>
          <w:sz w:val="20"/>
          <w:szCs w:val="20"/>
          <w:color w:val="auto"/>
        </w:rPr>
      </w:pPr>
    </w:p>
    <w:p>
      <w:pPr>
        <w:jc w:val="both"/>
        <w:ind w:left="480" w:right="480" w:firstLine="646"/>
        <w:spacing w:after="0" w:line="456" w:lineRule="exact"/>
        <w:rPr>
          <w:sz w:val="20"/>
          <w:szCs w:val="20"/>
          <w:color w:val="auto"/>
        </w:rPr>
      </w:pPr>
      <w:r>
        <w:rPr>
          <w:rFonts w:ascii="宋体" w:cs="宋体" w:eastAsia="宋体" w:hAnsi="宋体"/>
          <w:sz w:val="28"/>
          <w:szCs w:val="28"/>
          <w:b w:val="1"/>
          <w:bCs w:val="1"/>
          <w:color w:val="auto"/>
        </w:rPr>
        <w:t>三、美国农业部法令允许适当情形下使用替代证书。若美国农业部食品安全检验局确保替代证书清晰可鉴别，中国海关总署应包括在以下情形接受美国农业部发放的替代证书：</w:t>
      </w:r>
    </w:p>
    <w:p>
      <w:pPr>
        <w:spacing w:after="0" w:line="348"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（一）原始证书未包含所需信息；</w:t>
      </w:r>
    </w:p>
    <w:p>
      <w:pPr>
        <w:spacing w:after="0" w:line="345"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（二）原始证书中有打字印刷错误；</w:t>
      </w:r>
    </w:p>
    <w:p>
      <w:pPr>
        <w:spacing w:after="0" w:line="345"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（三）进出口商或收发货方已改变，但所属国家仍与原始证书</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3-14</w:t>
      </w:r>
    </w:p>
    <w:p>
      <w:pPr>
        <w:sectPr>
          <w:pgSz w:w="12240" w:h="15840" w:orient="portrait"/>
          <w:cols w:equalWidth="0" w:num="1">
            <w:col w:w="9360"/>
          </w:cols>
          <w:pgMar w:left="1440" w:top="1440" w:right="1440" w:bottom="439" w:gutter="0" w:footer="0" w:header="0"/>
        </w:sectPr>
      </w:pPr>
    </w:p>
    <w:bookmarkStart w:id="36" w:name="page37"/>
    <w:bookmarkEnd w:id="36"/>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所示国家相同；</w:t>
      </w:r>
    </w:p>
    <w:p>
      <w:pPr>
        <w:spacing w:after="0" w:line="345"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（四）证书丢失或损坏；或</w:t>
      </w:r>
    </w:p>
    <w:p>
      <w:pPr>
        <w:spacing w:after="0" w:line="345" w:lineRule="exact"/>
        <w:rPr>
          <w:sz w:val="20"/>
          <w:szCs w:val="20"/>
          <w:color w:val="auto"/>
        </w:rPr>
      </w:pPr>
    </w:p>
    <w:p>
      <w:pPr>
        <w:ind w:left="1140"/>
        <w:spacing w:after="0" w:line="320" w:lineRule="exact"/>
        <w:rPr>
          <w:sz w:val="20"/>
          <w:szCs w:val="20"/>
          <w:color w:val="auto"/>
        </w:rPr>
      </w:pPr>
      <w:r>
        <w:rPr>
          <w:rFonts w:ascii="宋体" w:cs="宋体" w:eastAsia="宋体" w:hAnsi="宋体"/>
          <w:sz w:val="28"/>
          <w:szCs w:val="28"/>
          <w:b w:val="1"/>
          <w:bCs w:val="1"/>
          <w:color w:val="auto"/>
        </w:rPr>
        <w:t>（五）入境口岸变更。</w:t>
      </w:r>
    </w:p>
    <w:p>
      <w:pPr>
        <w:spacing w:after="0" w:line="34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附录九 水产品</w:t>
      </w:r>
    </w:p>
    <w:p>
      <w:pPr>
        <w:spacing w:after="0" w:line="388" w:lineRule="exact"/>
        <w:rPr>
          <w:sz w:val="20"/>
          <w:szCs w:val="20"/>
          <w:color w:val="auto"/>
        </w:rPr>
      </w:pPr>
    </w:p>
    <w:p>
      <w:pPr>
        <w:jc w:val="both"/>
        <w:ind w:left="480" w:right="480" w:firstLine="562"/>
        <w:spacing w:after="0" w:line="500" w:lineRule="exact"/>
        <w:rPr>
          <w:sz w:val="20"/>
          <w:szCs w:val="20"/>
          <w:color w:val="auto"/>
        </w:rPr>
      </w:pPr>
      <w:r>
        <w:rPr>
          <w:rFonts w:ascii="宋体" w:cs="宋体" w:eastAsia="宋体" w:hAnsi="宋体"/>
          <w:sz w:val="28"/>
          <w:szCs w:val="28"/>
          <w:b w:val="1"/>
          <w:bCs w:val="1"/>
          <w:color w:val="auto"/>
        </w:rPr>
        <w:t>一、本协议生效后，中国海关总署与美国食品药品监督管理局应在尽快可行情况下重启中美水产品技术工作组双边会议。该技术工作组应明确中国可采取何种步骤，向美国食品药品监督管理局提供证据，以评估中国控制措施是否可确保中国输美水产品符合美国要求。美国确认，如中国水产品生产商或出口商向美国食品药品监督管理局提交充足证据，且美国食品药品监督管理局判定该工厂和</w:t>
      </w:r>
    </w:p>
    <w:p>
      <w:pPr>
        <w:spacing w:after="0" w:line="264" w:lineRule="exact"/>
        <w:rPr>
          <w:sz w:val="20"/>
          <w:szCs w:val="20"/>
          <w:color w:val="auto"/>
        </w:rPr>
      </w:pPr>
    </w:p>
    <w:p>
      <w:pPr>
        <w:jc w:val="both"/>
        <w:ind w:left="480" w:right="480"/>
        <w:spacing w:after="0" w:line="426" w:lineRule="exact"/>
        <w:rPr>
          <w:sz w:val="20"/>
          <w:szCs w:val="20"/>
          <w:color w:val="auto"/>
        </w:rPr>
      </w:pPr>
      <w:r>
        <w:rPr>
          <w:rFonts w:ascii="宋体" w:cs="宋体" w:eastAsia="宋体" w:hAnsi="宋体"/>
          <w:sz w:val="28"/>
          <w:szCs w:val="28"/>
          <w:b w:val="1"/>
          <w:bCs w:val="1"/>
          <w:color w:val="auto"/>
        </w:rPr>
        <w:t>产品应从《进口警报</w:t>
      </w:r>
      <w:r>
        <w:rPr>
          <w:rFonts w:ascii="Times New Roman" w:cs="Times New Roman" w:eastAsia="Times New Roman" w:hAnsi="Times New Roman"/>
          <w:sz w:val="28"/>
          <w:szCs w:val="28"/>
          <w:b w:val="1"/>
          <w:bCs w:val="1"/>
          <w:color w:val="auto"/>
        </w:rPr>
        <w:t>16-131</w:t>
      </w:r>
      <w:r>
        <w:rPr>
          <w:rFonts w:ascii="宋体" w:cs="宋体" w:eastAsia="宋体" w:hAnsi="宋体"/>
          <w:sz w:val="28"/>
          <w:szCs w:val="28"/>
          <w:b w:val="1"/>
          <w:bCs w:val="1"/>
          <w:color w:val="auto"/>
        </w:rPr>
        <w:t>》排除，则该中国水产品生产商或出口商应被列入《进口警报</w:t>
      </w:r>
      <w:r>
        <w:rPr>
          <w:rFonts w:ascii="Times New Roman" w:cs="Times New Roman" w:eastAsia="Times New Roman" w:hAnsi="Times New Roman"/>
          <w:sz w:val="28"/>
          <w:szCs w:val="28"/>
          <w:b w:val="1"/>
          <w:bCs w:val="1"/>
          <w:color w:val="auto"/>
        </w:rPr>
        <w:t>16-131</w:t>
      </w:r>
      <w:r>
        <w:rPr>
          <w:rFonts w:ascii="宋体" w:cs="宋体" w:eastAsia="宋体" w:hAnsi="宋体"/>
          <w:sz w:val="28"/>
          <w:szCs w:val="28"/>
          <w:b w:val="1"/>
          <w:bCs w:val="1"/>
          <w:color w:val="auto"/>
        </w:rPr>
        <w:t>绿色清单》。</w:t>
      </w:r>
    </w:p>
    <w:p>
      <w:pPr>
        <w:spacing w:after="0" w:line="367" w:lineRule="exact"/>
        <w:rPr>
          <w:sz w:val="20"/>
          <w:szCs w:val="20"/>
          <w:color w:val="auto"/>
        </w:rPr>
      </w:pPr>
    </w:p>
    <w:p>
      <w:pPr>
        <w:jc w:val="both"/>
        <w:ind w:left="480" w:right="480" w:firstLine="643"/>
        <w:spacing w:after="0" w:line="501" w:lineRule="exact"/>
        <w:rPr>
          <w:sz w:val="20"/>
          <w:szCs w:val="20"/>
          <w:color w:val="auto"/>
        </w:rPr>
      </w:pPr>
      <w:r>
        <w:rPr>
          <w:rFonts w:ascii="宋体" w:cs="宋体" w:eastAsia="宋体" w:hAnsi="宋体"/>
          <w:sz w:val="28"/>
          <w:szCs w:val="28"/>
          <w:b w:val="1"/>
          <w:bCs w:val="1"/>
          <w:color w:val="auto"/>
        </w:rPr>
        <w:t>二、为更好满足中国消费者日益增长的水产品需要，本协议生效后，中国海关总署和美国国家海洋和大气管理局应在尽快可行情况下会面，讨论可在美国州际贸易中销售但尚未获准在中国销售的水产品输入中国的审批流程。如美国商务部国家海洋和大气管理局向中国海关总署提交有关上述水产品中某一产品的充足证据，中国海关总署应判定该产品是否安全适于食用以及是否允许输入中国。</w:t>
      </w:r>
    </w:p>
    <w:p>
      <w:pPr>
        <w:spacing w:after="0" w:line="346" w:lineRule="exact"/>
        <w:rPr>
          <w:sz w:val="20"/>
          <w:szCs w:val="20"/>
          <w:color w:val="auto"/>
        </w:rPr>
      </w:pPr>
    </w:p>
    <w:p>
      <w:pPr>
        <w:ind w:left="1140"/>
        <w:spacing w:after="0" w:line="341" w:lineRule="exact"/>
        <w:rPr>
          <w:sz w:val="20"/>
          <w:szCs w:val="20"/>
          <w:color w:val="auto"/>
        </w:rPr>
      </w:pPr>
      <w:r>
        <w:rPr>
          <w:rFonts w:ascii="宋体" w:cs="宋体" w:eastAsia="宋体" w:hAnsi="宋体"/>
          <w:sz w:val="28"/>
          <w:szCs w:val="28"/>
          <w:b w:val="1"/>
          <w:bCs w:val="1"/>
          <w:color w:val="auto"/>
        </w:rPr>
        <w:t>三、中国在本协议生效之日起</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个工作日内，应允许下列货物</w:t>
      </w:r>
    </w:p>
    <w:p>
      <w:pPr>
        <w:spacing w:after="0" w:line="204"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输入中国：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3-15</w:t>
      </w:r>
    </w:p>
    <w:p>
      <w:pPr>
        <w:sectPr>
          <w:pgSz w:w="12240" w:h="15840" w:orient="portrait"/>
          <w:cols w:equalWidth="0" w:num="1">
            <w:col w:w="9360"/>
          </w:cols>
          <w:pgMar w:left="1440" w:top="1440" w:right="1440" w:bottom="439" w:gutter="0" w:footer="0" w:header="0"/>
        </w:sectPr>
      </w:pPr>
    </w:p>
    <w:bookmarkStart w:id="37" w:name="page38"/>
    <w:bookmarkEnd w:id="37"/>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480" w:right="480" w:firstLine="643"/>
        <w:spacing w:after="0" w:line="456" w:lineRule="exact"/>
        <w:rPr>
          <w:sz w:val="20"/>
          <w:szCs w:val="20"/>
          <w:color w:val="auto"/>
        </w:rPr>
      </w:pPr>
      <w:r>
        <w:rPr>
          <w:rFonts w:ascii="宋体" w:cs="宋体" w:eastAsia="宋体" w:hAnsi="宋体"/>
          <w:sz w:val="28"/>
          <w:szCs w:val="28"/>
          <w:b w:val="1"/>
          <w:bCs w:val="1"/>
          <w:color w:val="auto"/>
        </w:rPr>
        <w:t>（一）来自美国食品药品监督管理局认定监管状况良好、并在中国海关总署注册的水产品工厂，且随附美国国家海洋和大气管理局签发的经双方同意的证书；以及</w:t>
      </w:r>
    </w:p>
    <w:p>
      <w:pPr>
        <w:spacing w:after="0" w:line="389" w:lineRule="exact"/>
        <w:rPr>
          <w:sz w:val="20"/>
          <w:szCs w:val="20"/>
          <w:color w:val="auto"/>
        </w:rPr>
      </w:pPr>
    </w:p>
    <w:p>
      <w:pPr>
        <w:jc w:val="both"/>
        <w:ind w:left="480" w:right="480" w:firstLine="643"/>
        <w:spacing w:after="0" w:line="456" w:lineRule="exact"/>
        <w:rPr>
          <w:sz w:val="20"/>
          <w:szCs w:val="20"/>
          <w:color w:val="auto"/>
        </w:rPr>
      </w:pPr>
      <w:r>
        <w:rPr>
          <w:rFonts w:ascii="宋体" w:cs="宋体" w:eastAsia="宋体" w:hAnsi="宋体"/>
          <w:sz w:val="28"/>
          <w:szCs w:val="28"/>
          <w:b w:val="1"/>
          <w:bCs w:val="1"/>
          <w:color w:val="auto"/>
        </w:rPr>
        <w:t>（二）来自美国国家海洋和大气管理局认定监管状况良好、并在中国海关总署注册的鱼粉加工工厂，且随附美国国家海洋和大气管理局签发的经双方同意的证书。</w:t>
      </w:r>
    </w:p>
    <w:p>
      <w:pPr>
        <w:spacing w:after="0" w:line="348" w:lineRule="exact"/>
        <w:rPr>
          <w:sz w:val="20"/>
          <w:szCs w:val="20"/>
          <w:color w:val="auto"/>
        </w:rPr>
      </w:pPr>
    </w:p>
    <w:p>
      <w:pPr>
        <w:ind w:left="1160"/>
        <w:spacing w:after="0" w:line="320" w:lineRule="exact"/>
        <w:rPr>
          <w:sz w:val="20"/>
          <w:szCs w:val="20"/>
          <w:color w:val="auto"/>
        </w:rPr>
      </w:pPr>
      <w:r>
        <w:rPr>
          <w:rFonts w:ascii="宋体" w:cs="宋体" w:eastAsia="宋体" w:hAnsi="宋体"/>
          <w:sz w:val="28"/>
          <w:szCs w:val="28"/>
          <w:b w:val="1"/>
          <w:bCs w:val="1"/>
          <w:color w:val="auto"/>
        </w:rPr>
        <w:t>四、中国应：</w:t>
      </w:r>
    </w:p>
    <w:p>
      <w:pPr>
        <w:spacing w:after="0" w:line="345" w:lineRule="exact"/>
        <w:rPr>
          <w:sz w:val="20"/>
          <w:szCs w:val="20"/>
          <w:color w:val="auto"/>
        </w:rPr>
      </w:pPr>
    </w:p>
    <w:p>
      <w:pPr>
        <w:ind w:left="1160"/>
        <w:spacing w:after="0" w:line="320" w:lineRule="exact"/>
        <w:rPr>
          <w:sz w:val="20"/>
          <w:szCs w:val="20"/>
          <w:color w:val="auto"/>
        </w:rPr>
      </w:pPr>
      <w:r>
        <w:rPr>
          <w:rFonts w:ascii="宋体" w:cs="宋体" w:eastAsia="宋体" w:hAnsi="宋体"/>
          <w:sz w:val="28"/>
          <w:szCs w:val="28"/>
          <w:b w:val="1"/>
          <w:bCs w:val="1"/>
          <w:color w:val="auto"/>
        </w:rPr>
        <w:t>（一）每当美国向中国提交美国食品药品监督管理局管辖内</w:t>
      </w:r>
    </w:p>
    <w:p>
      <w:pPr>
        <w:spacing w:after="0" w:line="258" w:lineRule="exact"/>
        <w:rPr>
          <w:sz w:val="20"/>
          <w:szCs w:val="20"/>
          <w:color w:val="auto"/>
        </w:rPr>
      </w:pPr>
    </w:p>
    <w:p>
      <w:pPr>
        <w:jc w:val="both"/>
        <w:ind w:left="600" w:right="640"/>
        <w:spacing w:after="0" w:line="458" w:lineRule="exact"/>
        <w:rPr>
          <w:sz w:val="20"/>
          <w:szCs w:val="20"/>
          <w:color w:val="auto"/>
        </w:rPr>
      </w:pPr>
      <w:r>
        <w:rPr>
          <w:rFonts w:ascii="宋体" w:cs="宋体" w:eastAsia="宋体" w:hAnsi="宋体"/>
          <w:sz w:val="28"/>
          <w:szCs w:val="28"/>
          <w:b w:val="1"/>
          <w:bCs w:val="1"/>
          <w:color w:val="auto"/>
        </w:rPr>
        <w:t>水产品工厂的更新完整清单，在收到清单的</w:t>
      </w:r>
      <w:r>
        <w:rPr>
          <w:rFonts w:ascii="Times New Roman" w:cs="Times New Roman" w:eastAsia="Times New Roman" w:hAnsi="Times New Roman"/>
          <w:sz w:val="28"/>
          <w:szCs w:val="28"/>
          <w:b w:val="1"/>
          <w:bCs w:val="1"/>
          <w:color w:val="auto"/>
        </w:rPr>
        <w:t>20</w:t>
      </w:r>
      <w:r>
        <w:rPr>
          <w:rFonts w:ascii="宋体" w:cs="宋体" w:eastAsia="宋体" w:hAnsi="宋体"/>
          <w:sz w:val="28"/>
          <w:szCs w:val="28"/>
          <w:b w:val="1"/>
          <w:bCs w:val="1"/>
          <w:color w:val="auto"/>
        </w:rPr>
        <w:t>个工作日内，注册这些工厂，并在中国海关总署网站公布清单，允许这些工厂的美国水产品输入中国；以及</w:t>
      </w:r>
    </w:p>
    <w:p>
      <w:pPr>
        <w:spacing w:after="0" w:line="348" w:lineRule="exact"/>
        <w:rPr>
          <w:sz w:val="20"/>
          <w:szCs w:val="20"/>
          <w:color w:val="auto"/>
        </w:rPr>
      </w:pPr>
    </w:p>
    <w:p>
      <w:pPr>
        <w:ind w:left="1160"/>
        <w:spacing w:after="0" w:line="320" w:lineRule="exact"/>
        <w:rPr>
          <w:sz w:val="20"/>
          <w:szCs w:val="20"/>
          <w:color w:val="auto"/>
        </w:rPr>
      </w:pPr>
      <w:r>
        <w:rPr>
          <w:rFonts w:ascii="宋体" w:cs="宋体" w:eastAsia="宋体" w:hAnsi="宋体"/>
          <w:sz w:val="28"/>
          <w:szCs w:val="28"/>
          <w:b w:val="1"/>
          <w:bCs w:val="1"/>
          <w:color w:val="auto"/>
        </w:rPr>
        <w:t>（二）每当美国向中国提交美国商务部国家海洋和大气管理</w:t>
      </w:r>
    </w:p>
    <w:p>
      <w:pPr>
        <w:spacing w:after="0" w:line="258" w:lineRule="exact"/>
        <w:rPr>
          <w:sz w:val="20"/>
          <w:szCs w:val="20"/>
          <w:color w:val="auto"/>
        </w:rPr>
      </w:pPr>
    </w:p>
    <w:p>
      <w:pPr>
        <w:jc w:val="both"/>
        <w:ind w:left="600" w:right="640"/>
        <w:spacing w:after="0" w:line="459" w:lineRule="exact"/>
        <w:rPr>
          <w:sz w:val="20"/>
          <w:szCs w:val="20"/>
          <w:color w:val="auto"/>
        </w:rPr>
      </w:pPr>
      <w:r>
        <w:rPr>
          <w:rFonts w:ascii="宋体" w:cs="宋体" w:eastAsia="宋体" w:hAnsi="宋体"/>
          <w:sz w:val="28"/>
          <w:szCs w:val="28"/>
          <w:b w:val="1"/>
          <w:bCs w:val="1"/>
          <w:color w:val="auto"/>
        </w:rPr>
        <w:t>局管辖内鱼粉加工工厂的更新完整清单，在收到清单的</w:t>
      </w:r>
      <w:r>
        <w:rPr>
          <w:rFonts w:ascii="Times New Roman" w:cs="Times New Roman" w:eastAsia="Times New Roman" w:hAnsi="Times New Roman"/>
          <w:sz w:val="28"/>
          <w:szCs w:val="28"/>
          <w:b w:val="1"/>
          <w:bCs w:val="1"/>
          <w:color w:val="auto"/>
        </w:rPr>
        <w:t>20</w:t>
      </w:r>
      <w:r>
        <w:rPr>
          <w:rFonts w:ascii="宋体" w:cs="宋体" w:eastAsia="宋体" w:hAnsi="宋体"/>
          <w:sz w:val="28"/>
          <w:szCs w:val="28"/>
          <w:b w:val="1"/>
          <w:bCs w:val="1"/>
          <w:color w:val="auto"/>
        </w:rPr>
        <w:t>个工作日内，注册这些工厂，并在中国海关总署网站公布清单，允许这些工厂的美国鱼粉输入中国。</w:t>
      </w:r>
    </w:p>
    <w:p>
      <w:pPr>
        <w:spacing w:after="0" w:line="389" w:lineRule="exact"/>
        <w:rPr>
          <w:sz w:val="20"/>
          <w:szCs w:val="20"/>
          <w:color w:val="auto"/>
        </w:rPr>
      </w:pPr>
    </w:p>
    <w:p>
      <w:pPr>
        <w:ind w:left="600" w:right="380" w:firstLine="552"/>
        <w:spacing w:after="0" w:line="492" w:lineRule="exact"/>
        <w:rPr>
          <w:sz w:val="20"/>
          <w:szCs w:val="20"/>
          <w:color w:val="auto"/>
        </w:rPr>
      </w:pPr>
      <w:r>
        <w:rPr>
          <w:rFonts w:ascii="宋体" w:cs="宋体" w:eastAsia="宋体" w:hAnsi="宋体"/>
          <w:sz w:val="28"/>
          <w:szCs w:val="28"/>
          <w:b w:val="1"/>
          <w:bCs w:val="1"/>
          <w:color w:val="auto"/>
        </w:rPr>
        <w:t>五、中国继续有权对美国水产品食品安全监管体系进行核查，包括与美国食品药品监督管理局协调核查有代表性的美国水产品工厂。核查应以风险为基础。中国继续有权在入境口岸基于风险抽取美国水产品货物进行检查。如判定某批美国水产品货物违反适用食品安全进口要求，中国可拒绝进口该批货物。如判定某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3-16</w:t>
      </w:r>
    </w:p>
    <w:p>
      <w:pPr>
        <w:sectPr>
          <w:pgSz w:w="12240" w:h="15840" w:orient="portrait"/>
          <w:cols w:equalWidth="0" w:num="1">
            <w:col w:w="9360"/>
          </w:cols>
          <w:pgMar w:left="1440" w:top="1440" w:right="1440" w:bottom="439" w:gutter="0" w:footer="0" w:header="0"/>
        </w:sectPr>
      </w:pPr>
    </w:p>
    <w:bookmarkStart w:id="38" w:name="page39"/>
    <w:bookmarkEnd w:id="38"/>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60"/>
        <w:spacing w:after="0" w:line="320" w:lineRule="exact"/>
        <w:rPr>
          <w:sz w:val="20"/>
          <w:szCs w:val="20"/>
          <w:color w:val="auto"/>
        </w:rPr>
      </w:pPr>
      <w:r>
        <w:rPr>
          <w:rFonts w:ascii="宋体" w:cs="宋体" w:eastAsia="宋体" w:hAnsi="宋体"/>
          <w:sz w:val="28"/>
          <w:szCs w:val="28"/>
          <w:b w:val="1"/>
          <w:bCs w:val="1"/>
          <w:color w:val="auto"/>
        </w:rPr>
        <w:t>厂存在适用食品安全进口措施方面的重大违规行为，或违规行为</w:t>
      </w:r>
    </w:p>
    <w:p>
      <w:pPr>
        <w:spacing w:after="0" w:line="225" w:lineRule="exact"/>
        <w:rPr>
          <w:sz w:val="20"/>
          <w:szCs w:val="20"/>
          <w:color w:val="auto"/>
        </w:rPr>
      </w:pPr>
    </w:p>
    <w:p>
      <w:pPr>
        <w:jc w:val="center"/>
        <w:ind w:right="60"/>
        <w:spacing w:after="0" w:line="320" w:lineRule="exact"/>
        <w:rPr>
          <w:sz w:val="20"/>
          <w:szCs w:val="20"/>
          <w:color w:val="auto"/>
        </w:rPr>
      </w:pPr>
      <w:r>
        <w:rPr>
          <w:rFonts w:ascii="宋体" w:cs="宋体" w:eastAsia="宋体" w:hAnsi="宋体"/>
          <w:sz w:val="28"/>
          <w:szCs w:val="28"/>
          <w:b w:val="1"/>
          <w:bCs w:val="1"/>
          <w:color w:val="auto"/>
        </w:rPr>
        <w:t>持续或反复出现，中国可拒绝接受该工厂货物，直至问题解决。</w:t>
      </w:r>
    </w:p>
    <w:p>
      <w:pPr>
        <w:spacing w:after="0" w:line="225" w:lineRule="exact"/>
        <w:rPr>
          <w:sz w:val="20"/>
          <w:szCs w:val="20"/>
          <w:color w:val="auto"/>
        </w:rPr>
      </w:pPr>
    </w:p>
    <w:p>
      <w:pPr>
        <w:jc w:val="center"/>
        <w:ind w:right="60"/>
        <w:spacing w:after="0" w:line="320" w:lineRule="exact"/>
        <w:rPr>
          <w:sz w:val="20"/>
          <w:szCs w:val="20"/>
          <w:color w:val="auto"/>
        </w:rPr>
      </w:pPr>
      <w:r>
        <w:rPr>
          <w:rFonts w:ascii="宋体" w:cs="宋体" w:eastAsia="宋体" w:hAnsi="宋体"/>
          <w:sz w:val="28"/>
          <w:szCs w:val="28"/>
          <w:b w:val="1"/>
          <w:bCs w:val="1"/>
          <w:color w:val="auto"/>
        </w:rPr>
        <w:t>中国应就此类违规行为通报美国食品药品监督管理局。双方应就</w:t>
      </w:r>
    </w:p>
    <w:p>
      <w:pPr>
        <w:spacing w:after="0" w:line="225" w:lineRule="exact"/>
        <w:rPr>
          <w:sz w:val="20"/>
          <w:szCs w:val="20"/>
          <w:color w:val="auto"/>
        </w:rPr>
      </w:pPr>
    </w:p>
    <w:p>
      <w:pPr>
        <w:ind w:left="600"/>
        <w:spacing w:after="0" w:line="320" w:lineRule="exact"/>
        <w:rPr>
          <w:sz w:val="20"/>
          <w:szCs w:val="20"/>
          <w:color w:val="auto"/>
        </w:rPr>
      </w:pPr>
      <w:r>
        <w:rPr>
          <w:rFonts w:ascii="宋体" w:cs="宋体" w:eastAsia="宋体" w:hAnsi="宋体"/>
          <w:sz w:val="28"/>
          <w:szCs w:val="28"/>
          <w:b w:val="1"/>
          <w:bCs w:val="1"/>
          <w:color w:val="auto"/>
        </w:rPr>
        <w:t>水产品食品安全监管体系和涉及水产品的其他公共卫生事宜交换</w:t>
      </w:r>
    </w:p>
    <w:p>
      <w:pPr>
        <w:spacing w:after="0" w:line="226" w:lineRule="exact"/>
        <w:rPr>
          <w:sz w:val="20"/>
          <w:szCs w:val="20"/>
          <w:color w:val="auto"/>
        </w:rPr>
      </w:pPr>
    </w:p>
    <w:p>
      <w:pPr>
        <w:ind w:left="600"/>
        <w:spacing w:after="0" w:line="320" w:lineRule="exact"/>
        <w:rPr>
          <w:sz w:val="20"/>
          <w:szCs w:val="20"/>
          <w:color w:val="auto"/>
        </w:rPr>
      </w:pPr>
      <w:r>
        <w:rPr>
          <w:rFonts w:ascii="宋体" w:cs="宋体" w:eastAsia="宋体" w:hAnsi="宋体"/>
          <w:sz w:val="28"/>
          <w:szCs w:val="28"/>
          <w:b w:val="1"/>
          <w:bCs w:val="1"/>
          <w:color w:val="auto"/>
        </w:rPr>
        <w:t>信息。</w:t>
      </w:r>
    </w:p>
    <w:p>
      <w:pPr>
        <w:spacing w:after="0" w:line="345" w:lineRule="exact"/>
        <w:rPr>
          <w:sz w:val="20"/>
          <w:szCs w:val="20"/>
          <w:color w:val="auto"/>
        </w:rPr>
      </w:pPr>
    </w:p>
    <w:p>
      <w:pPr>
        <w:jc w:val="center"/>
        <w:ind w:right="180"/>
        <w:spacing w:after="0" w:line="320" w:lineRule="exact"/>
        <w:rPr>
          <w:sz w:val="20"/>
          <w:szCs w:val="20"/>
          <w:color w:val="auto"/>
        </w:rPr>
      </w:pPr>
      <w:r>
        <w:rPr>
          <w:rFonts w:ascii="宋体" w:cs="宋体" w:eastAsia="宋体" w:hAnsi="宋体"/>
          <w:sz w:val="28"/>
          <w:szCs w:val="28"/>
          <w:b w:val="1"/>
          <w:bCs w:val="1"/>
          <w:color w:val="auto"/>
        </w:rPr>
        <w:t>附录十 大 米</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一、每当收到美国提供的美国农业部动植物卫生检验局认可符</w:t>
      </w:r>
    </w:p>
    <w:p>
      <w:pPr>
        <w:spacing w:after="0" w:line="225"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合《美国输华大米植物卫生议定书》的大米工厂清单，中国应在收</w:t>
      </w:r>
    </w:p>
    <w:p>
      <w:pPr>
        <w:spacing w:after="0" w:line="258" w:lineRule="exact"/>
        <w:rPr>
          <w:sz w:val="20"/>
          <w:szCs w:val="20"/>
          <w:color w:val="auto"/>
        </w:rPr>
      </w:pPr>
    </w:p>
    <w:p>
      <w:pPr>
        <w:jc w:val="both"/>
        <w:ind w:left="480" w:right="480"/>
        <w:spacing w:after="0" w:line="458" w:lineRule="exact"/>
        <w:rPr>
          <w:sz w:val="20"/>
          <w:szCs w:val="20"/>
          <w:color w:val="auto"/>
        </w:rPr>
      </w:pPr>
      <w:r>
        <w:rPr>
          <w:rFonts w:ascii="宋体" w:cs="宋体" w:eastAsia="宋体" w:hAnsi="宋体"/>
          <w:sz w:val="28"/>
          <w:szCs w:val="28"/>
          <w:b w:val="1"/>
          <w:bCs w:val="1"/>
          <w:color w:val="auto"/>
        </w:rPr>
        <w:t>到清单的</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个工作日内，注册这些工厂，公布工厂清单，并允许进口来自每一个经美国农业部动植物卫生检验局认可的大米工厂的美国大米。中国继续有权对大米注册工厂进行植物卫生现场核查。</w:t>
      </w:r>
    </w:p>
    <w:p>
      <w:pPr>
        <w:spacing w:after="0" w:line="348"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附录十一 植物卫生</w:t>
      </w:r>
    </w:p>
    <w:p>
      <w:pPr>
        <w:spacing w:after="0" w:line="378" w:lineRule="exact"/>
        <w:rPr>
          <w:sz w:val="20"/>
          <w:szCs w:val="20"/>
          <w:color w:val="auto"/>
        </w:rPr>
      </w:pPr>
    </w:p>
    <w:p>
      <w:pPr>
        <w:jc w:val="both"/>
        <w:ind w:left="480" w:right="480" w:firstLine="562"/>
        <w:spacing w:after="0" w:line="459" w:lineRule="exact"/>
        <w:rPr>
          <w:sz w:val="20"/>
          <w:szCs w:val="20"/>
          <w:color w:val="auto"/>
        </w:rPr>
      </w:pPr>
      <w:r>
        <w:rPr>
          <w:rFonts w:ascii="宋体" w:cs="宋体" w:eastAsia="宋体" w:hAnsi="宋体"/>
          <w:sz w:val="28"/>
          <w:szCs w:val="28"/>
          <w:b w:val="1"/>
          <w:bCs w:val="1"/>
          <w:color w:val="auto"/>
        </w:rPr>
        <w:t>一、为了尽快实现贸易，本协议生效之日起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个月内，双方应开展技术磋商，尽快签署除兰花外的中国介质盆景输美植物卫生议定书。</w:t>
      </w:r>
    </w:p>
    <w:p>
      <w:pPr>
        <w:spacing w:after="0" w:line="380" w:lineRule="exact"/>
        <w:rPr>
          <w:sz w:val="20"/>
          <w:szCs w:val="20"/>
          <w:color w:val="auto"/>
        </w:rPr>
      </w:pPr>
    </w:p>
    <w:p>
      <w:pPr>
        <w:jc w:val="both"/>
        <w:ind w:left="480" w:right="480" w:firstLine="562"/>
        <w:spacing w:after="0" w:line="416" w:lineRule="exact"/>
        <w:rPr>
          <w:sz w:val="20"/>
          <w:szCs w:val="20"/>
          <w:color w:val="auto"/>
        </w:rPr>
      </w:pPr>
      <w:r>
        <w:rPr>
          <w:rFonts w:ascii="宋体" w:cs="宋体" w:eastAsia="宋体" w:hAnsi="宋体"/>
          <w:sz w:val="28"/>
          <w:szCs w:val="28"/>
          <w:b w:val="1"/>
          <w:bCs w:val="1"/>
          <w:color w:val="auto"/>
        </w:rPr>
        <w:t>二、本协议生效之日起</w:t>
      </w:r>
      <w:r>
        <w:rPr>
          <w:rFonts w:ascii="Times New Roman" w:cs="Times New Roman" w:eastAsia="Times New Roman" w:hAnsi="Times New Roman"/>
          <w:sz w:val="28"/>
          <w:szCs w:val="28"/>
          <w:b w:val="1"/>
          <w:bCs w:val="1"/>
          <w:color w:val="auto"/>
        </w:rPr>
        <w:t xml:space="preserve"> 45 </w:t>
      </w:r>
      <w:r>
        <w:rPr>
          <w:rFonts w:ascii="宋体" w:cs="宋体" w:eastAsia="宋体" w:hAnsi="宋体"/>
          <w:sz w:val="28"/>
          <w:szCs w:val="28"/>
          <w:b w:val="1"/>
          <w:bCs w:val="1"/>
          <w:color w:val="auto"/>
        </w:rPr>
        <w:t>日内，美国农业部（动植物卫生检验局）应完成中国香梨进口监管通报程序。</w:t>
      </w:r>
    </w:p>
    <w:p>
      <w:pPr>
        <w:spacing w:after="0" w:line="347"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三、本协议生效之日起</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个月内，美国农业部（动植物卫生检</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验局）应完成中国柑橘进口监管通报程序。</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3-17</w:t>
      </w:r>
    </w:p>
    <w:p>
      <w:pPr>
        <w:sectPr>
          <w:pgSz w:w="12240" w:h="15840" w:orient="portrait"/>
          <w:cols w:equalWidth="0" w:num="1">
            <w:col w:w="9360"/>
          </w:cols>
          <w:pgMar w:left="1440" w:top="1440" w:right="1440" w:bottom="439" w:gutter="0" w:footer="0" w:header="0"/>
        </w:sectPr>
      </w:pPr>
    </w:p>
    <w:bookmarkStart w:id="39" w:name="page40"/>
    <w:bookmarkEnd w:id="39"/>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四、本协议生效之日起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个月内，美国农业部（动植物卫生检</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验局）应完成中国鲜枣进口监管通报程序。</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五、本协议生效之日起</w:t>
      </w:r>
      <w:r>
        <w:rPr>
          <w:rFonts w:ascii="Times New Roman" w:cs="Times New Roman" w:eastAsia="Times New Roman" w:hAnsi="Times New Roman"/>
          <w:sz w:val="28"/>
          <w:szCs w:val="28"/>
          <w:b w:val="1"/>
          <w:bCs w:val="1"/>
          <w:color w:val="auto"/>
        </w:rPr>
        <w:t xml:space="preserve"> 7 </w:t>
      </w:r>
      <w:r>
        <w:rPr>
          <w:rFonts w:ascii="宋体" w:cs="宋体" w:eastAsia="宋体" w:hAnsi="宋体"/>
          <w:sz w:val="28"/>
          <w:szCs w:val="28"/>
          <w:b w:val="1"/>
          <w:bCs w:val="1"/>
          <w:color w:val="auto"/>
        </w:rPr>
        <w:t>个工作日内，中国海关总署和美国农</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业部（动植物卫生检验局）应签署并实施植物卫生议定书，允许美</w:t>
      </w:r>
    </w:p>
    <w:p>
      <w:pPr>
        <w:spacing w:after="0" w:line="2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国加工用鲜马铃薯输入中国。</w:t>
      </w:r>
    </w:p>
    <w:p>
      <w:pPr>
        <w:spacing w:after="0" w:line="378" w:lineRule="exact"/>
        <w:rPr>
          <w:sz w:val="20"/>
          <w:szCs w:val="20"/>
          <w:color w:val="auto"/>
        </w:rPr>
      </w:pPr>
    </w:p>
    <w:p>
      <w:pPr>
        <w:jc w:val="both"/>
        <w:ind w:left="480" w:right="480" w:firstLine="562"/>
        <w:spacing w:after="0" w:line="459" w:lineRule="exact"/>
        <w:rPr>
          <w:sz w:val="20"/>
          <w:szCs w:val="20"/>
          <w:color w:val="auto"/>
        </w:rPr>
      </w:pPr>
      <w:r>
        <w:rPr>
          <w:rFonts w:ascii="宋体" w:cs="宋体" w:eastAsia="宋体" w:hAnsi="宋体"/>
          <w:sz w:val="28"/>
          <w:szCs w:val="28"/>
          <w:b w:val="1"/>
          <w:bCs w:val="1"/>
          <w:color w:val="auto"/>
        </w:rPr>
        <w:t>六、本协议生效之日起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个月内，中国海关总署和美国农业部（动植物卫生检验局）应签署并实施植物卫生议定书，允许美国加州油桃输入中国。</w:t>
      </w:r>
    </w:p>
    <w:p>
      <w:pPr>
        <w:spacing w:after="0" w:line="379" w:lineRule="exact"/>
        <w:rPr>
          <w:sz w:val="20"/>
          <w:szCs w:val="20"/>
          <w:color w:val="auto"/>
        </w:rPr>
      </w:pPr>
    </w:p>
    <w:p>
      <w:pPr>
        <w:jc w:val="both"/>
        <w:ind w:left="480" w:right="480" w:firstLine="562"/>
        <w:spacing w:after="0" w:line="458" w:lineRule="exact"/>
        <w:rPr>
          <w:sz w:val="20"/>
          <w:szCs w:val="20"/>
          <w:color w:val="auto"/>
        </w:rPr>
      </w:pPr>
      <w:r>
        <w:rPr>
          <w:rFonts w:ascii="宋体" w:cs="宋体" w:eastAsia="宋体" w:hAnsi="宋体"/>
          <w:sz w:val="28"/>
          <w:szCs w:val="28"/>
          <w:b w:val="1"/>
          <w:bCs w:val="1"/>
          <w:color w:val="auto"/>
        </w:rPr>
        <w:t>七、本协议生效之日起</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个月内，中国海关总署和美国农业部（动植物卫生检验局）应签署并实施植物卫生议定书，允许美国蓝莓输入中国。</w:t>
      </w:r>
    </w:p>
    <w:p>
      <w:pPr>
        <w:spacing w:after="0" w:line="381" w:lineRule="exact"/>
        <w:rPr>
          <w:sz w:val="20"/>
          <w:szCs w:val="20"/>
          <w:color w:val="auto"/>
        </w:rPr>
      </w:pPr>
    </w:p>
    <w:p>
      <w:pPr>
        <w:jc w:val="both"/>
        <w:ind w:left="480" w:right="480" w:firstLine="562"/>
        <w:spacing w:after="0" w:line="459" w:lineRule="exact"/>
        <w:rPr>
          <w:sz w:val="20"/>
          <w:szCs w:val="20"/>
          <w:color w:val="auto"/>
        </w:rPr>
      </w:pPr>
      <w:r>
        <w:rPr>
          <w:rFonts w:ascii="宋体" w:cs="宋体" w:eastAsia="宋体" w:hAnsi="宋体"/>
          <w:sz w:val="28"/>
          <w:szCs w:val="28"/>
          <w:b w:val="1"/>
          <w:bCs w:val="1"/>
          <w:color w:val="auto"/>
        </w:rPr>
        <w:t>八、本协议生效之日起</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个月内，中国海关总署和美国农业部（动植物卫生检验局）应签署并实施植物卫生议定书，允许美国加州哈斯鳄梨输入中国。</w:t>
      </w:r>
    </w:p>
    <w:p>
      <w:pPr>
        <w:spacing w:after="0" w:line="380" w:lineRule="exact"/>
        <w:rPr>
          <w:sz w:val="20"/>
          <w:szCs w:val="20"/>
          <w:color w:val="auto"/>
        </w:rPr>
      </w:pPr>
    </w:p>
    <w:p>
      <w:pPr>
        <w:jc w:val="both"/>
        <w:ind w:left="480" w:right="480" w:firstLine="562"/>
        <w:spacing w:after="0" w:line="479" w:lineRule="exact"/>
        <w:rPr>
          <w:sz w:val="20"/>
          <w:szCs w:val="20"/>
          <w:color w:val="auto"/>
        </w:rPr>
      </w:pPr>
      <w:r>
        <w:rPr>
          <w:rFonts w:ascii="宋体" w:cs="宋体" w:eastAsia="宋体" w:hAnsi="宋体"/>
          <w:sz w:val="28"/>
          <w:szCs w:val="28"/>
          <w:b w:val="1"/>
          <w:bCs w:val="1"/>
          <w:color w:val="auto"/>
        </w:rPr>
        <w:t>九、本协议生效之日起</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个月内，中国海关总署和美国农业部（动植物卫生检验局）应签署并实施植物卫生议定书，允许美国大麦输入中国。中国海关总署与美国农业部（动植物卫生检验局）协调，可以实地考察美国大麦生产情况。</w:t>
      </w:r>
    </w:p>
    <w:p>
      <w:pPr>
        <w:spacing w:after="0" w:line="351"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十、本协议生效之日起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个月内，中国海关总署应与美国农业</w:t>
      </w:r>
    </w:p>
    <w:p>
      <w:pPr>
        <w:spacing w:after="0" w:line="204"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部（动植物卫生检验局）举行会议，并实地考察美国苜蓿颗粒和草</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3-18</w:t>
      </w:r>
    </w:p>
    <w:p>
      <w:pPr>
        <w:sectPr>
          <w:pgSz w:w="12240" w:h="15840" w:orient="portrait"/>
          <w:cols w:equalWidth="0" w:num="1">
            <w:col w:w="9360"/>
          </w:cols>
          <w:pgMar w:left="1440" w:top="1440" w:right="1440" w:bottom="439" w:gutter="0" w:footer="0" w:header="0"/>
        </w:sectPr>
      </w:pPr>
    </w:p>
    <w:bookmarkStart w:id="40" w:name="page41"/>
    <w:bookmarkEnd w:id="40"/>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块、杏仁粕颗粒和粕块以及梯牧草干草的生产情况。中国海关总署</w:t>
      </w:r>
    </w:p>
    <w:p>
      <w:pPr>
        <w:spacing w:after="0" w:line="258" w:lineRule="exact"/>
        <w:rPr>
          <w:sz w:val="20"/>
          <w:szCs w:val="20"/>
          <w:color w:val="auto"/>
        </w:rPr>
      </w:pPr>
    </w:p>
    <w:p>
      <w:pPr>
        <w:jc w:val="both"/>
        <w:ind w:left="480" w:right="480"/>
        <w:spacing w:after="0" w:line="416" w:lineRule="exact"/>
        <w:rPr>
          <w:sz w:val="20"/>
          <w:szCs w:val="20"/>
          <w:color w:val="auto"/>
        </w:rPr>
      </w:pPr>
      <w:r>
        <w:rPr>
          <w:rFonts w:ascii="宋体" w:cs="宋体" w:eastAsia="宋体" w:hAnsi="宋体"/>
          <w:sz w:val="28"/>
          <w:szCs w:val="28"/>
          <w:b w:val="1"/>
          <w:bCs w:val="1"/>
          <w:color w:val="auto"/>
        </w:rPr>
        <w:t>和美国农业部应于本协议生效之日起</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个月内签署并实施植物卫生议定书，允许以上产品输入中国。</w:t>
      </w:r>
    </w:p>
    <w:p>
      <w:pPr>
        <w:spacing w:after="0" w:line="388" w:lineRule="exact"/>
        <w:rPr>
          <w:sz w:val="20"/>
          <w:szCs w:val="20"/>
          <w:color w:val="auto"/>
        </w:rPr>
      </w:pPr>
    </w:p>
    <w:p>
      <w:pPr>
        <w:jc w:val="both"/>
        <w:ind w:left="480" w:right="480" w:firstLine="562"/>
        <w:spacing w:after="0" w:line="412" w:lineRule="exact"/>
        <w:rPr>
          <w:sz w:val="20"/>
          <w:szCs w:val="20"/>
          <w:color w:val="auto"/>
        </w:rPr>
      </w:pPr>
      <w:r>
        <w:rPr>
          <w:rFonts w:ascii="宋体" w:cs="宋体" w:eastAsia="宋体" w:hAnsi="宋体"/>
          <w:sz w:val="28"/>
          <w:szCs w:val="28"/>
          <w:b w:val="1"/>
          <w:bCs w:val="1"/>
          <w:color w:val="auto"/>
        </w:rPr>
        <w:t>十一、双方确认，一方自另一方进口冷冻水果和蔬菜时不得要求出具植物卫生证书。</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十二、双方应就谷物和油籽产品贸易便利化问题继续技术磋商。</w:t>
      </w:r>
    </w:p>
    <w:p>
      <w:pPr>
        <w:spacing w:after="0" w:line="34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附录十二 饲料添加剂、预混料、配合饲料、干酒精糟和含可溶物的</w:t>
      </w:r>
    </w:p>
    <w:p>
      <w:pPr>
        <w:spacing w:after="0" w:line="225"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干酒精糟</w:t>
      </w:r>
    </w:p>
    <w:p>
      <w:pPr>
        <w:spacing w:after="0" w:line="387" w:lineRule="exact"/>
        <w:rPr>
          <w:sz w:val="20"/>
          <w:szCs w:val="20"/>
          <w:color w:val="auto"/>
        </w:rPr>
      </w:pPr>
    </w:p>
    <w:p>
      <w:pPr>
        <w:jc w:val="both"/>
        <w:ind w:left="480" w:right="500" w:firstLine="562"/>
        <w:spacing w:after="0" w:line="410" w:lineRule="exact"/>
        <w:rPr>
          <w:sz w:val="20"/>
          <w:szCs w:val="20"/>
          <w:color w:val="auto"/>
        </w:rPr>
      </w:pPr>
      <w:r>
        <w:rPr>
          <w:rFonts w:ascii="宋体" w:cs="宋体" w:eastAsia="宋体" w:hAnsi="宋体"/>
          <w:sz w:val="28"/>
          <w:szCs w:val="28"/>
          <w:b w:val="1"/>
          <w:bCs w:val="1"/>
          <w:color w:val="auto"/>
        </w:rPr>
        <w:t>一、为简化程序、提高效率、促进贸易便利化，更好满足畜牧业发展的饲料需求，中国应：</w:t>
      </w:r>
    </w:p>
    <w:p>
      <w:pPr>
        <w:spacing w:after="0" w:line="388" w:lineRule="exact"/>
        <w:rPr>
          <w:sz w:val="20"/>
          <w:szCs w:val="20"/>
          <w:color w:val="auto"/>
        </w:rPr>
      </w:pPr>
    </w:p>
    <w:p>
      <w:pPr>
        <w:jc w:val="both"/>
        <w:ind w:left="480" w:right="480" w:firstLine="562"/>
        <w:spacing w:after="0" w:line="456" w:lineRule="exact"/>
        <w:rPr>
          <w:sz w:val="20"/>
          <w:szCs w:val="20"/>
          <w:color w:val="auto"/>
        </w:rPr>
      </w:pPr>
      <w:r>
        <w:rPr>
          <w:rFonts w:ascii="宋体" w:cs="宋体" w:eastAsia="宋体" w:hAnsi="宋体"/>
          <w:sz w:val="28"/>
          <w:szCs w:val="28"/>
          <w:b w:val="1"/>
          <w:bCs w:val="1"/>
          <w:color w:val="auto"/>
        </w:rPr>
        <w:t>（一）不以现场核查或检查作为注册工厂或批准饲料添加剂、预混料、配合饲料产品、干酒精糟和含可溶物的干酒精糟输入中国的前提条件；</w:t>
      </w:r>
    </w:p>
    <w:p>
      <w:pPr>
        <w:spacing w:after="0" w:line="389" w:lineRule="exact"/>
        <w:rPr>
          <w:sz w:val="20"/>
          <w:szCs w:val="20"/>
          <w:color w:val="auto"/>
        </w:rPr>
      </w:pPr>
    </w:p>
    <w:p>
      <w:pPr>
        <w:jc w:val="both"/>
        <w:ind w:left="480" w:right="480" w:firstLine="562"/>
        <w:spacing w:after="0" w:line="456" w:lineRule="exact"/>
        <w:rPr>
          <w:sz w:val="20"/>
          <w:szCs w:val="20"/>
          <w:color w:val="auto"/>
        </w:rPr>
      </w:pPr>
      <w:r>
        <w:rPr>
          <w:rFonts w:ascii="宋体" w:cs="宋体" w:eastAsia="宋体" w:hAnsi="宋体"/>
          <w:sz w:val="28"/>
          <w:szCs w:val="28"/>
          <w:b w:val="1"/>
          <w:bCs w:val="1"/>
          <w:color w:val="auto"/>
        </w:rPr>
        <w:t>（二）不以出口议定书作为允许饲料添加剂、预混料、配合饲料产品、干酒精糟和含可溶物的干酒精糟输入中国的前提条件；以及</w:t>
      </w:r>
    </w:p>
    <w:p>
      <w:pPr>
        <w:spacing w:after="0" w:line="348"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（三）确保对美国饲料添加剂、预混料、配合饲料产品、干酒</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精糟和含可溶物的干酒精糟的进口要求与国际标准和准则相一致。</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二、每当美国向中国提供饲料添加剂、预混料、配合饲料产品、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3-19</w:t>
      </w:r>
    </w:p>
    <w:p>
      <w:pPr>
        <w:sectPr>
          <w:pgSz w:w="12240" w:h="15840" w:orient="portrait"/>
          <w:cols w:equalWidth="0" w:num="1">
            <w:col w:w="9360"/>
          </w:cols>
          <w:pgMar w:left="1440" w:top="1440" w:right="1440" w:bottom="439" w:gutter="0" w:footer="0" w:header="0"/>
        </w:sectPr>
      </w:pPr>
    </w:p>
    <w:bookmarkStart w:id="41" w:name="page42"/>
    <w:bookmarkEnd w:id="41"/>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both"/>
        <w:ind w:left="480" w:right="480"/>
        <w:spacing w:after="0" w:line="480" w:lineRule="exact"/>
        <w:rPr>
          <w:sz w:val="20"/>
          <w:szCs w:val="20"/>
          <w:color w:val="auto"/>
        </w:rPr>
      </w:pPr>
      <w:r>
        <w:rPr>
          <w:rFonts w:ascii="宋体" w:cs="宋体" w:eastAsia="宋体" w:hAnsi="宋体"/>
          <w:sz w:val="28"/>
          <w:szCs w:val="28"/>
          <w:b w:val="1"/>
          <w:bCs w:val="1"/>
          <w:color w:val="auto"/>
        </w:rPr>
        <w:t>干酒精糟和含可溶物的干酒精糟工厂的更新完整清单，中国应在</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个工作日内对工厂实施注册，在中国海关总署网站公布清单，并允许中国海关总署网站上清单内美国工厂的饲料添加剂、预混料、配合饲料产品、干酒精糟和含可溶物的干酒精糟输入中国。</w:t>
      </w:r>
    </w:p>
    <w:p>
      <w:pPr>
        <w:spacing w:after="0" w:line="348"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三、中国应：</w:t>
      </w:r>
    </w:p>
    <w:p>
      <w:pPr>
        <w:spacing w:after="0" w:line="378" w:lineRule="exact"/>
        <w:rPr>
          <w:sz w:val="20"/>
          <w:szCs w:val="20"/>
          <w:color w:val="auto"/>
        </w:rPr>
      </w:pPr>
    </w:p>
    <w:p>
      <w:pPr>
        <w:ind w:left="480" w:right="500" w:firstLine="562"/>
        <w:spacing w:after="0" w:line="426" w:lineRule="exact"/>
        <w:rPr>
          <w:sz w:val="20"/>
          <w:szCs w:val="20"/>
          <w:color w:val="auto"/>
        </w:rPr>
      </w:pPr>
      <w:r>
        <w:rPr>
          <w:rFonts w:ascii="宋体" w:cs="宋体" w:eastAsia="宋体" w:hAnsi="宋体"/>
          <w:sz w:val="28"/>
          <w:szCs w:val="28"/>
          <w:b w:val="1"/>
          <w:bCs w:val="1"/>
          <w:color w:val="auto"/>
        </w:rPr>
        <w:t>（一）</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．在收到美国干酒精糟和含可溶物的干酒精糟制造商对中国出口审批申请</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个月内完成申请审查；以及</w:t>
      </w:r>
    </w:p>
    <w:p>
      <w:pPr>
        <w:spacing w:after="0" w:line="32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．在申请审查完成</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个工作日内发放许可，允许该产品输入</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中国；以及</w:t>
      </w:r>
    </w:p>
    <w:p>
      <w:pPr>
        <w:spacing w:after="0" w:line="344"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（二）在收到申请</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个工作日内，若美国干酒精糟或含可溶物</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的干酒精糟制造商持有或曾持有一种产品输入中国许可，但该许可：</w:t>
      </w:r>
    </w:p>
    <w:p>
      <w:pPr>
        <w:spacing w:after="0" w:line="346"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．于</w:t>
      </w:r>
      <w:r>
        <w:rPr>
          <w:rFonts w:ascii="Times New Roman" w:cs="Times New Roman" w:eastAsia="Times New Roman" w:hAnsi="Times New Roman"/>
          <w:sz w:val="28"/>
          <w:szCs w:val="28"/>
          <w:b w:val="1"/>
          <w:bCs w:val="1"/>
          <w:color w:val="auto"/>
        </w:rPr>
        <w:t xml:space="preserve"> 2017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日或之后失效，或</w:t>
      </w:r>
    </w:p>
    <w:p>
      <w:pPr>
        <w:spacing w:after="0" w:line="324"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．预期将在该日期后失效，向该制造商发放许可，允许该产品</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输入中国。</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四、中国应：</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（一）在收到新饲料添加剂、预混合饲料或配合饲料产品输入</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中国申请</w:t>
      </w:r>
      <w:r>
        <w:rPr>
          <w:rFonts w:ascii="Times New Roman" w:cs="Times New Roman" w:eastAsia="Times New Roman" w:hAnsi="Times New Roman"/>
          <w:sz w:val="28"/>
          <w:szCs w:val="28"/>
          <w:b w:val="1"/>
          <w:bCs w:val="1"/>
          <w:color w:val="auto"/>
        </w:rPr>
        <w:t xml:space="preserve"> 9 </w:t>
      </w:r>
      <w:r>
        <w:rPr>
          <w:rFonts w:ascii="宋体" w:cs="宋体" w:eastAsia="宋体" w:hAnsi="宋体"/>
          <w:sz w:val="28"/>
          <w:szCs w:val="28"/>
          <w:b w:val="1"/>
          <w:bCs w:val="1"/>
          <w:color w:val="auto"/>
        </w:rPr>
        <w:t>个月内，完成申请审查，将产品列入中国饲料和饲料添</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加剂目录；</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（二）在收到饲料添加剂、预混合饲料或配合饲料产品输入中</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3-20</w:t>
      </w:r>
    </w:p>
    <w:p>
      <w:pPr>
        <w:sectPr>
          <w:pgSz w:w="12240" w:h="15840" w:orient="portrait"/>
          <w:cols w:equalWidth="0" w:num="1">
            <w:col w:w="9360"/>
          </w:cols>
          <w:pgMar w:left="1440" w:top="1440" w:right="1440" w:bottom="439" w:gutter="0" w:footer="0" w:header="0"/>
        </w:sectPr>
      </w:pPr>
    </w:p>
    <w:bookmarkStart w:id="42" w:name="page43"/>
    <w:bookmarkEnd w:id="42"/>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国新申请</w:t>
      </w:r>
      <w:r>
        <w:rPr>
          <w:rFonts w:ascii="Times New Roman" w:cs="Times New Roman" w:eastAsia="Times New Roman" w:hAnsi="Times New Roman"/>
          <w:sz w:val="28"/>
          <w:szCs w:val="28"/>
          <w:b w:val="1"/>
          <w:bCs w:val="1"/>
          <w:color w:val="auto"/>
        </w:rPr>
        <w:t xml:space="preserve"> 3 </w:t>
      </w:r>
      <w:r>
        <w:rPr>
          <w:rFonts w:ascii="宋体" w:cs="宋体" w:eastAsia="宋体" w:hAnsi="宋体"/>
          <w:sz w:val="28"/>
          <w:szCs w:val="28"/>
          <w:b w:val="1"/>
          <w:bCs w:val="1"/>
          <w:color w:val="auto"/>
        </w:rPr>
        <w:t>个月内，完成申请审查并发放许可，允许产品进口；以</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及</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（三）在收到向中国出口饲料添加剂、预混合饲料或配合饲料</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产品续期申请</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个工作日内发放续期许可，允许产品进口。</w:t>
      </w:r>
    </w:p>
    <w:p>
      <w:pPr>
        <w:spacing w:after="0" w:line="366" w:lineRule="exact"/>
        <w:rPr>
          <w:sz w:val="20"/>
          <w:szCs w:val="20"/>
          <w:color w:val="auto"/>
        </w:rPr>
      </w:pPr>
    </w:p>
    <w:p>
      <w:pPr>
        <w:jc w:val="both"/>
        <w:ind w:left="480" w:right="480" w:firstLine="562"/>
        <w:spacing w:after="0" w:line="523" w:lineRule="exact"/>
        <w:rPr>
          <w:sz w:val="20"/>
          <w:szCs w:val="20"/>
          <w:color w:val="auto"/>
        </w:rPr>
      </w:pPr>
      <w:r>
        <w:rPr>
          <w:rFonts w:ascii="宋体" w:cs="宋体" w:eastAsia="宋体" w:hAnsi="宋体"/>
          <w:sz w:val="28"/>
          <w:szCs w:val="28"/>
          <w:b w:val="1"/>
          <w:bCs w:val="1"/>
          <w:color w:val="auto"/>
        </w:rPr>
        <w:t>五、中国继续有权对美国饲料添加剂、预混料、配合饲料、干酒精糟和含可溶物的干酒精糟饲料安全监管体系进行核查，包括与美国相关主管部门协调核查有代表性的美国饲料添加剂、预混料、配合饲料、干酒精糟和含可溶物的干酒精糟工厂。核查应以风险为基础。中国继续有权在入境口岸基于风险抽取美国饲料添加剂、预混料、配合饲料、干酒精糟和含可溶物的干酒精糟饲料产品货物进行检查。如根据科学检查判定某批美国饲料添加剂、预混料、配合饲料、干酒精糟和含可溶物的干酒精糟货物违反适用饲料安全进口要求，中国可拒绝进口该批货物。如判定某工厂存在适用饲料安全措施重大违规行为，或违规行为持续或反复出现，中国可拒绝接受该工厂货物，直至问题解决。中国应就此类违规行为通报美国有关部门。双方应就饲料添加剂、预混料、配合饲料、干酒精糟和含可溶物的干酒精糟饲料安全监管体系交换信息。</w:t>
      </w:r>
    </w:p>
    <w:p>
      <w:pPr>
        <w:spacing w:after="0" w:line="361"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附录十三 宠物食品和非反刍动物源动物饲料</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一、中国应：</w:t>
      </w:r>
    </w:p>
    <w:p>
      <w:pPr>
        <w:spacing w:after="0" w:line="347"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（一）在本协议生效之日起</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个月内：</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3-21</w:t>
      </w:r>
    </w:p>
    <w:p>
      <w:pPr>
        <w:sectPr>
          <w:pgSz w:w="12240" w:h="15840" w:orient="portrait"/>
          <w:cols w:equalWidth="0" w:num="1">
            <w:col w:w="9360"/>
          </w:cols>
          <w:pgMar w:left="1440" w:top="1440" w:right="1440" w:bottom="439" w:gutter="0" w:footer="0" w:header="0"/>
        </w:sectPr>
      </w:pPr>
    </w:p>
    <w:bookmarkStart w:id="43" w:name="page44"/>
    <w:bookmarkEnd w:id="43"/>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．按照附录第四部分（牛肉）第二条内容解除对含反刍动物成</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分的美国宠物食品的禁令；以及</w:t>
      </w:r>
    </w:p>
    <w:p>
      <w:pPr>
        <w:spacing w:after="0" w:line="378" w:lineRule="exact"/>
        <w:rPr>
          <w:sz w:val="20"/>
          <w:szCs w:val="20"/>
          <w:color w:val="auto"/>
        </w:rPr>
      </w:pPr>
    </w:p>
    <w:p>
      <w:pPr>
        <w:jc w:val="both"/>
        <w:ind w:left="480" w:right="500" w:firstLine="562"/>
        <w:spacing w:after="0" w:line="459"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．对含反刍动物成分的美国宠物食品，取消聚合酶链式反应检测使用；对不含反刍动物成分的美国宠物食品，仅基于风险进行聚合酶链式反应抽检；</w:t>
      </w:r>
    </w:p>
    <w:p>
      <w:pPr>
        <w:spacing w:after="0" w:line="389" w:lineRule="exact"/>
        <w:rPr>
          <w:sz w:val="20"/>
          <w:szCs w:val="20"/>
          <w:color w:val="auto"/>
        </w:rPr>
      </w:pPr>
    </w:p>
    <w:p>
      <w:pPr>
        <w:jc w:val="both"/>
        <w:ind w:left="480" w:right="480" w:firstLine="562"/>
        <w:spacing w:after="0" w:line="412" w:lineRule="exact"/>
        <w:rPr>
          <w:sz w:val="20"/>
          <w:szCs w:val="20"/>
          <w:color w:val="auto"/>
        </w:rPr>
      </w:pPr>
      <w:r>
        <w:rPr>
          <w:rFonts w:ascii="宋体" w:cs="宋体" w:eastAsia="宋体" w:hAnsi="宋体"/>
          <w:sz w:val="28"/>
          <w:szCs w:val="28"/>
          <w:b w:val="1"/>
          <w:bCs w:val="1"/>
          <w:color w:val="auto"/>
        </w:rPr>
        <w:t>（二）本协议一经生效，允许进口含禽肉产品成分的美国宠物食品；</w:t>
      </w:r>
    </w:p>
    <w:p>
      <w:pPr>
        <w:spacing w:after="0" w:line="387" w:lineRule="exact"/>
        <w:rPr>
          <w:sz w:val="20"/>
          <w:szCs w:val="20"/>
          <w:color w:val="auto"/>
        </w:rPr>
      </w:pPr>
    </w:p>
    <w:p>
      <w:pPr>
        <w:jc w:val="both"/>
        <w:ind w:left="480" w:right="480" w:firstLine="562"/>
        <w:spacing w:after="0" w:line="412" w:lineRule="exact"/>
        <w:rPr>
          <w:sz w:val="20"/>
          <w:szCs w:val="20"/>
          <w:color w:val="auto"/>
        </w:rPr>
      </w:pPr>
      <w:r>
        <w:rPr>
          <w:rFonts w:ascii="宋体" w:cs="宋体" w:eastAsia="宋体" w:hAnsi="宋体"/>
          <w:sz w:val="28"/>
          <w:szCs w:val="28"/>
          <w:b w:val="1"/>
          <w:bCs w:val="1"/>
          <w:color w:val="auto"/>
        </w:rPr>
        <w:t>（三）不要求工厂在注册环节填写或提交问卷，但可要求正在接受核查的工厂填写问卷；以及</w:t>
      </w:r>
    </w:p>
    <w:p>
      <w:pPr>
        <w:spacing w:after="0" w:line="385" w:lineRule="exact"/>
        <w:rPr>
          <w:sz w:val="20"/>
          <w:szCs w:val="20"/>
          <w:color w:val="auto"/>
        </w:rPr>
      </w:pPr>
    </w:p>
    <w:p>
      <w:pPr>
        <w:jc w:val="both"/>
        <w:ind w:left="480" w:right="480" w:firstLine="562"/>
        <w:spacing w:after="0" w:line="456" w:lineRule="exact"/>
        <w:rPr>
          <w:sz w:val="20"/>
          <w:szCs w:val="20"/>
          <w:color w:val="auto"/>
        </w:rPr>
      </w:pPr>
      <w:r>
        <w:rPr>
          <w:rFonts w:ascii="宋体" w:cs="宋体" w:eastAsia="宋体" w:hAnsi="宋体"/>
          <w:sz w:val="28"/>
          <w:szCs w:val="28"/>
          <w:b w:val="1"/>
          <w:bCs w:val="1"/>
          <w:color w:val="auto"/>
        </w:rPr>
        <w:t>（四）允许进口含有第三国动物源成分的宠物食品，前提是该动物源成分合法进口至美国、符合美国国内宠物食品添加要求并可追溯至原产国。</w:t>
      </w:r>
    </w:p>
    <w:p>
      <w:pPr>
        <w:spacing w:after="0" w:line="347"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二、本协议一经生效，双方应进行技术讨论，讨论美国宠物食</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品输入中国事宜。双方应在本协议生效之日起</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个月内，签署美国</w:t>
      </w:r>
    </w:p>
    <w:p>
      <w:pPr>
        <w:spacing w:after="0" w:line="205"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宠物食品输入中国议定书。新议定书签署前，中国应按照</w:t>
      </w:r>
      <w:r>
        <w:rPr>
          <w:rFonts w:ascii="Times New Roman" w:cs="Times New Roman" w:eastAsia="Times New Roman" w:hAnsi="Times New Roman"/>
          <w:sz w:val="28"/>
          <w:szCs w:val="28"/>
          <w:b w:val="1"/>
          <w:bCs w:val="1"/>
          <w:color w:val="auto"/>
        </w:rPr>
        <w:t xml:space="preserve"> 2004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11</w:t>
      </w:r>
    </w:p>
    <w:p>
      <w:pPr>
        <w:spacing w:after="0" w:line="236" w:lineRule="exact"/>
        <w:rPr>
          <w:sz w:val="20"/>
          <w:szCs w:val="20"/>
          <w:color w:val="auto"/>
        </w:rPr>
      </w:pPr>
    </w:p>
    <w:p>
      <w:pPr>
        <w:jc w:val="both"/>
        <w:ind w:left="480" w:right="480" w:firstLine="8"/>
        <w:spacing w:after="0" w:line="459" w:lineRule="exact"/>
        <w:tabs>
          <w:tab w:leader="none" w:pos="888" w:val="left"/>
        </w:tabs>
        <w:numPr>
          <w:ilvl w:val="0"/>
          <w:numId w:val="10"/>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18 </w:t>
      </w:r>
      <w:r>
        <w:rPr>
          <w:rFonts w:ascii="宋体" w:cs="宋体" w:eastAsia="宋体" w:hAnsi="宋体"/>
          <w:sz w:val="28"/>
          <w:szCs w:val="28"/>
          <w:b w:val="1"/>
          <w:bCs w:val="1"/>
          <w:color w:val="auto"/>
        </w:rPr>
        <w:t>日签署的《中华人民共和国从美利坚合众国输入非反刍动物源饲料和非反刍动物源性油脂的兽医卫生议定书》规定，继续允许美国宠物食品输入中国。</w:t>
      </w:r>
    </w:p>
    <w:p>
      <w:pPr>
        <w:spacing w:after="0" w:line="379" w:lineRule="exact"/>
        <w:rPr>
          <w:sz w:val="20"/>
          <w:szCs w:val="20"/>
          <w:color w:val="auto"/>
        </w:rPr>
      </w:pPr>
    </w:p>
    <w:p>
      <w:pPr>
        <w:ind w:left="480" w:right="480" w:firstLine="562"/>
        <w:spacing w:after="0" w:line="426" w:lineRule="exact"/>
        <w:rPr>
          <w:sz w:val="20"/>
          <w:szCs w:val="20"/>
          <w:color w:val="auto"/>
        </w:rPr>
      </w:pPr>
      <w:r>
        <w:rPr>
          <w:rFonts w:ascii="宋体" w:cs="宋体" w:eastAsia="宋体" w:hAnsi="宋体"/>
          <w:sz w:val="28"/>
          <w:szCs w:val="28"/>
          <w:b w:val="1"/>
          <w:bCs w:val="1"/>
          <w:color w:val="auto"/>
        </w:rPr>
        <w:t>三、中国已完成对美国</w:t>
      </w:r>
      <w:r>
        <w:rPr>
          <w:rFonts w:ascii="Times New Roman" w:cs="Times New Roman" w:eastAsia="Times New Roman" w:hAnsi="Times New Roman"/>
          <w:sz w:val="28"/>
          <w:szCs w:val="28"/>
          <w:b w:val="1"/>
          <w:bCs w:val="1"/>
          <w:color w:val="auto"/>
        </w:rPr>
        <w:t xml:space="preserve"> 24 </w:t>
      </w:r>
      <w:r>
        <w:rPr>
          <w:rFonts w:ascii="宋体" w:cs="宋体" w:eastAsia="宋体" w:hAnsi="宋体"/>
          <w:sz w:val="28"/>
          <w:szCs w:val="28"/>
          <w:b w:val="1"/>
          <w:bCs w:val="1"/>
          <w:color w:val="auto"/>
        </w:rPr>
        <w:t>家新增宠物食品和动物饲料工厂的审查，应在本协议生效之日起</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个工作日内，将这些工厂加入允许输</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3-22</w:t>
      </w:r>
    </w:p>
    <w:p>
      <w:pPr>
        <w:sectPr>
          <w:pgSz w:w="12240" w:h="15840" w:orient="portrait"/>
          <w:cols w:equalWidth="0" w:num="1">
            <w:col w:w="9360"/>
          </w:cols>
          <w:pgMar w:left="1440" w:top="1440" w:right="1440" w:bottom="439" w:gutter="0" w:footer="0" w:header="0"/>
        </w:sectPr>
      </w:pPr>
    </w:p>
    <w:bookmarkStart w:id="44" w:name="page45"/>
    <w:bookmarkEnd w:id="44"/>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入中国宠物食品或非反刍动物源动物饲料的工厂清单。</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四、美国应每月向中国提供美国认定可对中国出口宠物食品或</w:t>
      </w:r>
    </w:p>
    <w:p>
      <w:pPr>
        <w:spacing w:after="0" w:line="258" w:lineRule="exact"/>
        <w:rPr>
          <w:sz w:val="20"/>
          <w:szCs w:val="20"/>
          <w:color w:val="auto"/>
        </w:rPr>
      </w:pPr>
    </w:p>
    <w:p>
      <w:pPr>
        <w:jc w:val="both"/>
        <w:ind w:left="480" w:right="480"/>
        <w:spacing w:after="0" w:line="481" w:lineRule="exact"/>
        <w:rPr>
          <w:sz w:val="20"/>
          <w:szCs w:val="20"/>
          <w:color w:val="auto"/>
        </w:rPr>
      </w:pPr>
      <w:r>
        <w:rPr>
          <w:rFonts w:ascii="宋体" w:cs="宋体" w:eastAsia="宋体" w:hAnsi="宋体"/>
          <w:sz w:val="28"/>
          <w:szCs w:val="28"/>
          <w:b w:val="1"/>
          <w:bCs w:val="1"/>
          <w:color w:val="auto"/>
        </w:rPr>
        <w:t>非反刍动物源动物饲料的工厂清单的所有更新。在收到清单的</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个工作日内，中国应注册这些工厂，在中国海关总署网站公布变更的清单，并允许中国海关总署网站清单内美国工厂的宠物食品和非反刍动物源动物饲料输入中国。</w:t>
      </w:r>
    </w:p>
    <w:p>
      <w:pPr>
        <w:spacing w:after="0" w:line="388" w:lineRule="exact"/>
        <w:rPr>
          <w:sz w:val="20"/>
          <w:szCs w:val="20"/>
          <w:color w:val="auto"/>
        </w:rPr>
      </w:pPr>
    </w:p>
    <w:p>
      <w:pPr>
        <w:jc w:val="both"/>
        <w:ind w:left="480" w:right="480" w:firstLine="562"/>
        <w:spacing w:after="0" w:line="521" w:lineRule="exact"/>
        <w:rPr>
          <w:sz w:val="20"/>
          <w:szCs w:val="20"/>
          <w:color w:val="auto"/>
        </w:rPr>
      </w:pPr>
      <w:r>
        <w:rPr>
          <w:rFonts w:ascii="宋体" w:cs="宋体" w:eastAsia="宋体" w:hAnsi="宋体"/>
          <w:sz w:val="28"/>
          <w:szCs w:val="28"/>
          <w:b w:val="1"/>
          <w:bCs w:val="1"/>
          <w:color w:val="auto"/>
        </w:rPr>
        <w:t>五、中国继续有权对美国宠物食品和非反刍动物源动物饲料安全监管体系进行核查，包括与美国相关主管部门协调核查有代表性的美国宠物食品和非反刍动物源动物饲料工厂。核查应以风险为基础。中国继续有权在入境口岸基于风险抽取美国宠物食品和非反刍动物源动物饲料货物进行检查。如根据科学检查判定某批美国宠物食品和非反刍动物源动物饲料违反适用宠物食品和非反刍动物源动物饲料安全进口要求，中国可拒绝进口该批次产品。如判定某工厂存在适用饲料安全措施方面的重大违规行为，或违规行为持续或反复出现，中国可拒绝接受该工厂货物，直至问题解决。中国应就此类违规行为通报美国相关主管部门。双方应就宠物食品和非反刍动物源动物饲料安全监管体系交换信息。</w:t>
      </w:r>
    </w:p>
    <w:p>
      <w:pPr>
        <w:spacing w:after="0" w:line="346"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附录十四 关税配额</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一、中国应确保自</w:t>
      </w:r>
      <w:r>
        <w:rPr>
          <w:rFonts w:ascii="Times New Roman" w:cs="Times New Roman" w:eastAsia="Times New Roman" w:hAnsi="Times New Roman"/>
          <w:sz w:val="28"/>
          <w:szCs w:val="28"/>
          <w:b w:val="1"/>
          <w:bCs w:val="1"/>
          <w:color w:val="auto"/>
        </w:rPr>
        <w:t xml:space="preserve"> 2019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12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31 </w:t>
      </w:r>
      <w:r>
        <w:rPr>
          <w:rFonts w:ascii="宋体" w:cs="宋体" w:eastAsia="宋体" w:hAnsi="宋体"/>
          <w:sz w:val="28"/>
          <w:szCs w:val="28"/>
          <w:b w:val="1"/>
          <w:bCs w:val="1"/>
          <w:color w:val="auto"/>
        </w:rPr>
        <w:t>日起，小麦、大米和玉米的</w:t>
      </w:r>
    </w:p>
    <w:p>
      <w:pPr>
        <w:spacing w:after="0" w:line="203"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关税配额措施应符合中国特定农产品关税配额案专家组报告及世界</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3-23</w:t>
      </w:r>
    </w:p>
    <w:p>
      <w:pPr>
        <w:sectPr>
          <w:pgSz w:w="12240" w:h="15840" w:orient="portrait"/>
          <w:cols w:equalWidth="0" w:num="1">
            <w:col w:w="9360"/>
          </w:cols>
          <w:pgMar w:left="1440" w:top="1440" w:right="1440" w:bottom="439" w:gutter="0" w:footer="0" w:header="0"/>
        </w:sectPr>
      </w:pPr>
    </w:p>
    <w:bookmarkStart w:id="45" w:name="page46"/>
    <w:bookmarkEnd w:id="45"/>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贸易组织协定，包括中国在《中华人民共和国加入世贸组织议定书》</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和中国第</w:t>
      </w:r>
      <w:r>
        <w:rPr>
          <w:rFonts w:ascii="Times New Roman" w:cs="Times New Roman" w:eastAsia="Times New Roman" w:hAnsi="Times New Roman"/>
          <w:sz w:val="28"/>
          <w:szCs w:val="28"/>
          <w:b w:val="1"/>
          <w:bCs w:val="1"/>
          <w:color w:val="auto"/>
        </w:rPr>
        <w:t xml:space="preserve"> 152 </w:t>
      </w:r>
      <w:r>
        <w:rPr>
          <w:rFonts w:ascii="宋体" w:cs="宋体" w:eastAsia="宋体" w:hAnsi="宋体"/>
          <w:sz w:val="28"/>
          <w:szCs w:val="28"/>
          <w:b w:val="1"/>
          <w:bCs w:val="1"/>
          <w:color w:val="auto"/>
        </w:rPr>
        <w:t>号减让表第一部分第</w:t>
      </w:r>
      <w:r>
        <w:rPr>
          <w:rFonts w:ascii="Times New Roman" w:cs="Times New Roman" w:eastAsia="Times New Roman" w:hAnsi="Times New Roman"/>
          <w:sz w:val="28"/>
          <w:szCs w:val="28"/>
          <w:b w:val="1"/>
          <w:bCs w:val="1"/>
          <w:color w:val="auto"/>
        </w:rPr>
        <w:t xml:space="preserve"> 1</w:t>
      </w: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B</w:t>
      </w:r>
      <w:r>
        <w:rPr>
          <w:rFonts w:ascii="宋体" w:cs="宋体" w:eastAsia="宋体" w:hAnsi="宋体"/>
          <w:sz w:val="28"/>
          <w:szCs w:val="28"/>
          <w:b w:val="1"/>
          <w:bCs w:val="1"/>
          <w:color w:val="auto"/>
        </w:rPr>
        <w:t>）节中的承诺。</w:t>
      </w:r>
    </w:p>
    <w:p>
      <w:pPr>
        <w:spacing w:after="0" w:line="356" w:lineRule="exact"/>
        <w:rPr>
          <w:sz w:val="20"/>
          <w:szCs w:val="20"/>
          <w:color w:val="auto"/>
        </w:rPr>
      </w:pPr>
    </w:p>
    <w:p>
      <w:pPr>
        <w:jc w:val="both"/>
        <w:ind w:left="480" w:right="480" w:firstLine="552"/>
        <w:spacing w:after="0" w:line="459" w:lineRule="exact"/>
        <w:rPr>
          <w:sz w:val="20"/>
          <w:szCs w:val="20"/>
          <w:color w:val="auto"/>
        </w:rPr>
      </w:pPr>
      <w:r>
        <w:rPr>
          <w:rFonts w:ascii="宋体" w:cs="宋体" w:eastAsia="宋体" w:hAnsi="宋体"/>
          <w:sz w:val="28"/>
          <w:szCs w:val="28"/>
          <w:b w:val="1"/>
          <w:bCs w:val="1"/>
          <w:color w:val="auto"/>
        </w:rPr>
        <w:t>二、中国每年小麦、大米和玉米的总体关税配额应于当年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日前分配至最终用户。中国应确保不抑制小麦、大米和玉米关税配额的足额使用。</w:t>
      </w:r>
    </w:p>
    <w:p>
      <w:pPr>
        <w:spacing w:after="0" w:line="388" w:lineRule="exact"/>
        <w:rPr>
          <w:sz w:val="20"/>
          <w:szCs w:val="20"/>
          <w:color w:val="auto"/>
        </w:rPr>
      </w:pPr>
    </w:p>
    <w:p>
      <w:pPr>
        <w:ind w:left="480" w:right="200" w:firstLine="552"/>
        <w:spacing w:after="0" w:line="545" w:lineRule="exact"/>
        <w:rPr>
          <w:sz w:val="20"/>
          <w:szCs w:val="20"/>
          <w:color w:val="auto"/>
        </w:rPr>
      </w:pPr>
      <w:r>
        <w:rPr>
          <w:rFonts w:ascii="宋体" w:cs="宋体" w:eastAsia="宋体" w:hAnsi="宋体"/>
          <w:sz w:val="28"/>
          <w:szCs w:val="28"/>
          <w:b w:val="1"/>
          <w:bCs w:val="1"/>
          <w:color w:val="auto"/>
        </w:rPr>
        <w:t>三、中国对小麦、大米和玉米关税配额资格、分配、返还、再分配和处罚的要求，不得区别对待国营贸易企业和非国营贸易企业，并应同等适用于小麦、大米和玉米关税配额中的国营贸易配额和非国营贸易配额。中国小麦、大米和玉米关税配额管理措施中，获得小麦、大米和玉米关税配额分配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最终用户</w:t>
      </w:r>
      <w:r>
        <w:rPr>
          <w:rFonts w:ascii="Arial" w:cs="Arial" w:eastAsia="Arial" w:hAnsi="Arial"/>
          <w:sz w:val="28"/>
          <w:szCs w:val="28"/>
          <w:b w:val="1"/>
          <w:bCs w:val="1"/>
          <w:color w:val="auto"/>
        </w:rPr>
        <w:t>”</w:t>
      </w:r>
      <w:r>
        <w:rPr>
          <w:rFonts w:ascii="宋体" w:cs="宋体" w:eastAsia="宋体" w:hAnsi="宋体"/>
          <w:sz w:val="28"/>
          <w:szCs w:val="28"/>
          <w:b w:val="1"/>
          <w:bCs w:val="1"/>
          <w:color w:val="auto"/>
        </w:rPr>
        <w:t>和</w:t>
      </w:r>
      <w:r>
        <w:rPr>
          <w:rFonts w:ascii="Arial" w:cs="Arial" w:eastAsia="Arial" w:hAnsi="Arial"/>
          <w:sz w:val="28"/>
          <w:szCs w:val="28"/>
          <w:b w:val="1"/>
          <w:bCs w:val="1"/>
          <w:color w:val="auto"/>
        </w:rPr>
        <w:t>“</w:t>
      </w:r>
      <w:r>
        <w:rPr>
          <w:rFonts w:ascii="宋体" w:cs="宋体" w:eastAsia="宋体" w:hAnsi="宋体"/>
          <w:sz w:val="28"/>
          <w:szCs w:val="28"/>
          <w:b w:val="1"/>
          <w:bCs w:val="1"/>
          <w:color w:val="auto"/>
        </w:rPr>
        <w:t>企业</w:t>
      </w:r>
      <w:r>
        <w:rPr>
          <w:rFonts w:ascii="Arial" w:cs="Arial" w:eastAsia="Arial" w:hAnsi="Arial"/>
          <w:sz w:val="28"/>
          <w:szCs w:val="28"/>
          <w:b w:val="1"/>
          <w:bCs w:val="1"/>
          <w:color w:val="auto"/>
        </w:rPr>
        <w:t>”</w:t>
      </w:r>
      <w:r>
        <w:rPr>
          <w:rFonts w:ascii="宋体" w:cs="宋体" w:eastAsia="宋体" w:hAnsi="宋体"/>
          <w:sz w:val="28"/>
          <w:szCs w:val="28"/>
          <w:b w:val="1"/>
          <w:bCs w:val="1"/>
          <w:color w:val="auto"/>
        </w:rPr>
        <w:t>包括国营贸易企业。</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both"/>
        <w:ind w:left="480" w:right="480" w:firstLine="552"/>
        <w:spacing w:after="0" w:line="492" w:lineRule="exact"/>
        <w:rPr>
          <w:sz w:val="20"/>
          <w:szCs w:val="20"/>
          <w:color w:val="auto"/>
        </w:rPr>
      </w:pPr>
      <w:r>
        <w:rPr>
          <w:rFonts w:ascii="宋体" w:cs="宋体" w:eastAsia="宋体" w:hAnsi="宋体"/>
          <w:sz w:val="28"/>
          <w:szCs w:val="28"/>
          <w:b w:val="1"/>
          <w:bCs w:val="1"/>
          <w:color w:val="auto"/>
        </w:rPr>
        <w:t>四、中国应于每年</w:t>
      </w:r>
      <w:r>
        <w:rPr>
          <w:rFonts w:ascii="Times New Roman" w:cs="Times New Roman" w:eastAsia="Times New Roman" w:hAnsi="Times New Roman"/>
          <w:sz w:val="28"/>
          <w:szCs w:val="28"/>
          <w:b w:val="1"/>
          <w:bCs w:val="1"/>
          <w:color w:val="auto"/>
        </w:rPr>
        <w:t xml:space="preserve"> 10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日前对未使用并返还的小麦、大米和玉米关税配额量（包括未使用并返还的分配给国营贸易企业的配额量，或定为</w:t>
      </w:r>
      <w:r>
        <w:rPr>
          <w:rFonts w:ascii="Arial" w:cs="Arial" w:eastAsia="Arial" w:hAnsi="Arial"/>
          <w:sz w:val="28"/>
          <w:szCs w:val="28"/>
          <w:b w:val="1"/>
          <w:bCs w:val="1"/>
          <w:color w:val="auto"/>
        </w:rPr>
        <w:t>“</w:t>
      </w:r>
      <w:r>
        <w:rPr>
          <w:rFonts w:ascii="宋体" w:cs="宋体" w:eastAsia="宋体" w:hAnsi="宋体"/>
          <w:sz w:val="28"/>
          <w:szCs w:val="28"/>
          <w:b w:val="1"/>
          <w:bCs w:val="1"/>
          <w:color w:val="auto"/>
        </w:rPr>
        <w:t>国营贸易配额</w:t>
      </w:r>
      <w:r>
        <w:rPr>
          <w:rFonts w:ascii="Arial" w:cs="Arial" w:eastAsia="Arial" w:hAnsi="Arial"/>
          <w:sz w:val="28"/>
          <w:szCs w:val="28"/>
          <w:b w:val="1"/>
          <w:bCs w:val="1"/>
          <w:color w:val="auto"/>
        </w:rPr>
        <w:t>”</w:t>
      </w:r>
      <w:r>
        <w:rPr>
          <w:rFonts w:ascii="宋体" w:cs="宋体" w:eastAsia="宋体" w:hAnsi="宋体"/>
          <w:sz w:val="28"/>
          <w:szCs w:val="28"/>
          <w:b w:val="1"/>
          <w:bCs w:val="1"/>
          <w:color w:val="auto"/>
        </w:rPr>
        <w:t>的配额量）进行再分配。仅有新申请者和除退回未使用小麦、大米和玉米配额的企业以外的企业，应有资格获得小麦、大米和玉米关税配额再分配量。</w:t>
      </w:r>
    </w:p>
    <w:p>
      <w:pPr>
        <w:spacing w:after="0" w:line="394" w:lineRule="exact"/>
        <w:rPr>
          <w:sz w:val="20"/>
          <w:szCs w:val="20"/>
          <w:color w:val="auto"/>
        </w:rPr>
      </w:pPr>
    </w:p>
    <w:p>
      <w:pPr>
        <w:jc w:val="both"/>
        <w:ind w:left="480" w:right="500" w:firstLine="552"/>
        <w:spacing w:after="0" w:line="412" w:lineRule="exact"/>
        <w:rPr>
          <w:sz w:val="20"/>
          <w:szCs w:val="20"/>
          <w:color w:val="auto"/>
        </w:rPr>
      </w:pPr>
      <w:r>
        <w:rPr>
          <w:rFonts w:ascii="宋体" w:cs="宋体" w:eastAsia="宋体" w:hAnsi="宋体"/>
          <w:sz w:val="28"/>
          <w:szCs w:val="28"/>
          <w:b w:val="1"/>
          <w:bCs w:val="1"/>
          <w:color w:val="auto"/>
        </w:rPr>
        <w:t>五、中国小麦、大米和玉米关税配额的所有分配量均应为商业可行的装运量。</w:t>
      </w:r>
    </w:p>
    <w:p>
      <w:pPr>
        <w:spacing w:after="0" w:line="387" w:lineRule="exact"/>
        <w:rPr>
          <w:sz w:val="20"/>
          <w:szCs w:val="20"/>
          <w:color w:val="auto"/>
        </w:rPr>
      </w:pPr>
    </w:p>
    <w:p>
      <w:pPr>
        <w:jc w:val="both"/>
        <w:ind w:left="480" w:right="500" w:firstLine="552"/>
        <w:spacing w:after="0" w:line="412" w:lineRule="exact"/>
        <w:rPr>
          <w:sz w:val="20"/>
          <w:szCs w:val="20"/>
          <w:color w:val="auto"/>
        </w:rPr>
      </w:pPr>
      <w:r>
        <w:rPr>
          <w:rFonts w:ascii="宋体" w:cs="宋体" w:eastAsia="宋体" w:hAnsi="宋体"/>
          <w:sz w:val="28"/>
          <w:szCs w:val="28"/>
          <w:b w:val="1"/>
          <w:bCs w:val="1"/>
          <w:color w:val="auto"/>
        </w:rPr>
        <w:t>六、中国应确保规定并公布小麦、大米和玉米关税配额申请条件和分配原则，分配原则应与小麦、大米和玉米关税配额管理商品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3-24</w:t>
      </w:r>
    </w:p>
    <w:p>
      <w:pPr>
        <w:sectPr>
          <w:pgSz w:w="12240" w:h="15840" w:orient="portrait"/>
          <w:cols w:equalWidth="0" w:num="1">
            <w:col w:w="9360"/>
          </w:cols>
          <w:pgMar w:left="1440" w:top="1440" w:right="1440" w:bottom="439" w:gutter="0" w:footer="0" w:header="0"/>
        </w:sectPr>
      </w:pPr>
    </w:p>
    <w:bookmarkStart w:id="46" w:name="page47"/>
    <w:bookmarkEnd w:id="46"/>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480" w:right="480"/>
        <w:spacing w:after="0" w:line="478" w:lineRule="exact"/>
        <w:rPr>
          <w:sz w:val="20"/>
          <w:szCs w:val="20"/>
          <w:color w:val="auto"/>
        </w:rPr>
      </w:pPr>
      <w:r>
        <w:rPr>
          <w:rFonts w:ascii="宋体" w:cs="宋体" w:eastAsia="宋体" w:hAnsi="宋体"/>
          <w:sz w:val="28"/>
          <w:szCs w:val="28"/>
          <w:b w:val="1"/>
          <w:bCs w:val="1"/>
          <w:color w:val="auto"/>
        </w:rPr>
        <w:t>的进口、加工或销售相关。中国应确保充足数量的国营贸易企业和非国营贸易企业实体（包括新的配额申请者）有资格获得小麦、大米和玉米关税配额分配，并确保不抑制小麦、大米和玉米关税配额的足额使用。</w:t>
      </w:r>
    </w:p>
    <w:p>
      <w:pPr>
        <w:spacing w:after="0" w:line="389"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七、与中国的世贸组织义务相一致，中国将应美国请求，提供与小麦、大米和玉米关税配额分配和再分配相关的信息。</w:t>
      </w:r>
    </w:p>
    <w:p>
      <w:pPr>
        <w:spacing w:after="0" w:line="387" w:lineRule="exact"/>
        <w:rPr>
          <w:sz w:val="20"/>
          <w:szCs w:val="20"/>
          <w:color w:val="auto"/>
        </w:rPr>
      </w:pPr>
    </w:p>
    <w:p>
      <w:pPr>
        <w:jc w:val="both"/>
        <w:ind w:left="480" w:right="480" w:firstLine="552"/>
        <w:spacing w:after="0" w:line="477" w:lineRule="exact"/>
        <w:rPr>
          <w:sz w:val="20"/>
          <w:szCs w:val="20"/>
          <w:color w:val="auto"/>
        </w:rPr>
      </w:pPr>
      <w:r>
        <w:rPr>
          <w:rFonts w:ascii="宋体" w:cs="宋体" w:eastAsia="宋体" w:hAnsi="宋体"/>
          <w:sz w:val="28"/>
          <w:szCs w:val="28"/>
          <w:b w:val="1"/>
          <w:bCs w:val="1"/>
          <w:color w:val="auto"/>
        </w:rPr>
        <w:t>八、每一方如有关于小麦、大米和玉米关税配额管理的现行法律、法规和公告，应在公共网站上公开，并及时公布上述内容的变更情况。依据</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一章，双方将应其中一方请求就关税配额管理进行磋商。</w:t>
      </w:r>
    </w:p>
    <w:p>
      <w:pPr>
        <w:spacing w:after="0" w:line="351"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附录十五 国内支持</w:t>
      </w:r>
    </w:p>
    <w:p>
      <w:pPr>
        <w:spacing w:after="0" w:line="387" w:lineRule="exact"/>
        <w:rPr>
          <w:sz w:val="20"/>
          <w:szCs w:val="20"/>
          <w:color w:val="auto"/>
        </w:rPr>
      </w:pPr>
    </w:p>
    <w:p>
      <w:pPr>
        <w:jc w:val="both"/>
        <w:ind w:left="480" w:right="500" w:firstLine="552"/>
        <w:spacing w:after="0" w:line="412" w:lineRule="exact"/>
        <w:rPr>
          <w:sz w:val="20"/>
          <w:szCs w:val="20"/>
          <w:color w:val="auto"/>
        </w:rPr>
      </w:pPr>
      <w:r>
        <w:rPr>
          <w:rFonts w:ascii="宋体" w:cs="宋体" w:eastAsia="宋体" w:hAnsi="宋体"/>
          <w:sz w:val="28"/>
          <w:szCs w:val="28"/>
          <w:b w:val="1"/>
          <w:bCs w:val="1"/>
          <w:color w:val="auto"/>
        </w:rPr>
        <w:t>一、中国应尊重其世贸组织义务，在官方公报栏公布关于其国内支持计划和政策的法律、法规和其他措施。</w:t>
      </w:r>
    </w:p>
    <w:p>
      <w:pPr>
        <w:spacing w:after="0" w:line="387" w:lineRule="exact"/>
        <w:rPr>
          <w:sz w:val="20"/>
          <w:szCs w:val="20"/>
          <w:color w:val="auto"/>
        </w:rPr>
      </w:pPr>
    </w:p>
    <w:p>
      <w:pPr>
        <w:jc w:val="both"/>
        <w:ind w:left="480" w:right="480" w:firstLine="562"/>
        <w:spacing w:after="0" w:line="456" w:lineRule="exact"/>
        <w:rPr>
          <w:sz w:val="20"/>
          <w:szCs w:val="20"/>
          <w:color w:val="auto"/>
        </w:rPr>
      </w:pPr>
      <w:r>
        <w:rPr>
          <w:rFonts w:ascii="宋体" w:cs="宋体" w:eastAsia="宋体" w:hAnsi="宋体"/>
          <w:sz w:val="28"/>
          <w:szCs w:val="28"/>
          <w:b w:val="1"/>
          <w:bCs w:val="1"/>
          <w:color w:val="auto"/>
        </w:rPr>
        <w:t>二、为明确起见，关于中国国内支持措施，世界贸易组织《关于争端解决规则与程序的谅解》下美国享有的针对中国的权利，不受本协议限制。</w:t>
      </w:r>
    </w:p>
    <w:p>
      <w:pPr>
        <w:spacing w:after="0" w:line="348"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附录十六 农业生物技术</w:t>
      </w:r>
    </w:p>
    <w:p>
      <w:pPr>
        <w:spacing w:after="0" w:line="345" w:lineRule="exact"/>
        <w:rPr>
          <w:sz w:val="20"/>
          <w:szCs w:val="20"/>
          <w:color w:val="auto"/>
        </w:rPr>
      </w:pPr>
    </w:p>
    <w:p>
      <w:pPr>
        <w:ind w:left="1120"/>
        <w:spacing w:after="0" w:line="320" w:lineRule="exact"/>
        <w:rPr>
          <w:sz w:val="20"/>
          <w:szCs w:val="20"/>
          <w:color w:val="auto"/>
        </w:rPr>
      </w:pPr>
      <w:r>
        <w:rPr>
          <w:rFonts w:ascii="宋体" w:cs="宋体" w:eastAsia="宋体" w:hAnsi="宋体"/>
          <w:sz w:val="28"/>
          <w:szCs w:val="28"/>
          <w:b w:val="1"/>
          <w:bCs w:val="1"/>
          <w:color w:val="auto"/>
        </w:rPr>
        <w:t>一、为有助于实现农业生物技术对可持续农业发展的好处，双</w:t>
      </w:r>
    </w:p>
    <w:p>
      <w:pPr>
        <w:spacing w:after="0" w:line="225" w:lineRule="exact"/>
        <w:rPr>
          <w:sz w:val="20"/>
          <w:szCs w:val="20"/>
          <w:color w:val="auto"/>
        </w:rPr>
      </w:pPr>
    </w:p>
    <w:p>
      <w:pPr>
        <w:jc w:val="center"/>
        <w:ind w:right="20"/>
        <w:spacing w:after="0" w:line="320" w:lineRule="exact"/>
        <w:rPr>
          <w:sz w:val="20"/>
          <w:szCs w:val="20"/>
          <w:color w:val="auto"/>
        </w:rPr>
      </w:pPr>
      <w:r>
        <w:rPr>
          <w:rFonts w:ascii="宋体" w:cs="宋体" w:eastAsia="宋体" w:hAnsi="宋体"/>
          <w:sz w:val="28"/>
          <w:szCs w:val="28"/>
          <w:b w:val="1"/>
          <w:bCs w:val="1"/>
          <w:color w:val="auto"/>
        </w:rPr>
        <w:t>方同意开展农业生物技术领域交流，并有意采取措施，增进公众关</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3-25</w:t>
      </w:r>
    </w:p>
    <w:p>
      <w:pPr>
        <w:sectPr>
          <w:pgSz w:w="12240" w:h="15840" w:orient="portrait"/>
          <w:cols w:equalWidth="0" w:num="1">
            <w:col w:w="9360"/>
          </w:cols>
          <w:pgMar w:left="1440" w:top="1440" w:right="1440" w:bottom="439" w:gutter="0" w:footer="0" w:header="0"/>
        </w:sectPr>
      </w:pPr>
    </w:p>
    <w:bookmarkStart w:id="47" w:name="page48"/>
    <w:bookmarkEnd w:id="47"/>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480" w:right="500"/>
        <w:spacing w:after="0" w:line="456" w:lineRule="exact"/>
        <w:rPr>
          <w:sz w:val="20"/>
          <w:szCs w:val="20"/>
          <w:color w:val="auto"/>
        </w:rPr>
      </w:pPr>
      <w:r>
        <w:rPr>
          <w:rFonts w:ascii="宋体" w:cs="宋体" w:eastAsia="宋体" w:hAnsi="宋体"/>
          <w:sz w:val="28"/>
          <w:szCs w:val="28"/>
          <w:b w:val="1"/>
          <w:bCs w:val="1"/>
          <w:color w:val="auto"/>
        </w:rPr>
        <w:t>于农业生物技术参与和公众对农业生物技术相关科学信息的认知，以增强公众对在农业和食品体系中使用安全生物技术的信心和接受程度为目的。</w:t>
      </w:r>
    </w:p>
    <w:p>
      <w:pPr>
        <w:spacing w:after="0" w:line="389" w:lineRule="exact"/>
        <w:rPr>
          <w:sz w:val="20"/>
          <w:szCs w:val="20"/>
          <w:color w:val="auto"/>
        </w:rPr>
      </w:pPr>
    </w:p>
    <w:p>
      <w:pPr>
        <w:jc w:val="both"/>
        <w:ind w:left="480" w:right="480" w:firstLine="552"/>
        <w:spacing w:after="0" w:line="456" w:lineRule="exact"/>
        <w:rPr>
          <w:sz w:val="20"/>
          <w:szCs w:val="20"/>
          <w:color w:val="auto"/>
        </w:rPr>
      </w:pPr>
      <w:r>
        <w:rPr>
          <w:rFonts w:ascii="宋体" w:cs="宋体" w:eastAsia="宋体" w:hAnsi="宋体"/>
          <w:sz w:val="28"/>
          <w:szCs w:val="28"/>
          <w:b w:val="1"/>
          <w:bCs w:val="1"/>
          <w:color w:val="auto"/>
        </w:rPr>
        <w:t>二、中国应为农业生物技术产品的安全性评价和审批采用透明、可预测、高效及以科学和风险为基础的监管流程。对于用作饲料或加工的农业生物技术产品，中国应大幅缩短以下两项之间的平</w:t>
      </w:r>
    </w:p>
    <w:p>
      <w:pPr>
        <w:spacing w:after="0" w:line="229"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均时间至</w:t>
      </w:r>
      <w:r>
        <w:rPr>
          <w:rFonts w:ascii="Times New Roman" w:cs="Times New Roman" w:eastAsia="Times New Roman" w:hAnsi="Times New Roman"/>
          <w:sz w:val="28"/>
          <w:szCs w:val="28"/>
          <w:b w:val="1"/>
          <w:bCs w:val="1"/>
          <w:color w:val="auto"/>
        </w:rPr>
        <w:t xml:space="preserve"> 24 </w:t>
      </w:r>
      <w:r>
        <w:rPr>
          <w:rFonts w:ascii="宋体" w:cs="宋体" w:eastAsia="宋体" w:hAnsi="宋体"/>
          <w:sz w:val="28"/>
          <w:szCs w:val="28"/>
          <w:b w:val="1"/>
          <w:bCs w:val="1"/>
          <w:color w:val="auto"/>
        </w:rPr>
        <w:t>个月以内：</w:t>
      </w:r>
    </w:p>
    <w:p>
      <w:pPr>
        <w:spacing w:after="0" w:line="32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（一）此类产品审批正式申请的提交；以及</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（二）该产品是否批准的最终决定。</w:t>
      </w:r>
    </w:p>
    <w:p>
      <w:pPr>
        <w:spacing w:after="0" w:line="385" w:lineRule="exact"/>
        <w:rPr>
          <w:sz w:val="20"/>
          <w:szCs w:val="20"/>
          <w:color w:val="auto"/>
        </w:rPr>
      </w:pPr>
    </w:p>
    <w:p>
      <w:pPr>
        <w:jc w:val="both"/>
        <w:ind w:left="480" w:right="480" w:firstLine="552"/>
        <w:spacing w:after="0" w:line="456" w:lineRule="exact"/>
        <w:rPr>
          <w:sz w:val="20"/>
          <w:szCs w:val="20"/>
          <w:color w:val="auto"/>
        </w:rPr>
      </w:pPr>
      <w:r>
        <w:rPr>
          <w:rFonts w:ascii="宋体" w:cs="宋体" w:eastAsia="宋体" w:hAnsi="宋体"/>
          <w:sz w:val="28"/>
          <w:szCs w:val="28"/>
          <w:b w:val="1"/>
          <w:bCs w:val="1"/>
          <w:color w:val="auto"/>
        </w:rPr>
        <w:t>中国安全评价程序应以相关国际标准以及食品法典和《国际植物保护公约》的建议为基础。中国所开展的任何安全评价应基于以恰当方式获取并以恰当统计方法分析的科学数据和信息。</w:t>
      </w:r>
    </w:p>
    <w:p>
      <w:pPr>
        <w:spacing w:after="0" w:line="389" w:lineRule="exact"/>
        <w:rPr>
          <w:sz w:val="20"/>
          <w:szCs w:val="20"/>
          <w:color w:val="auto"/>
        </w:rPr>
      </w:pPr>
    </w:p>
    <w:p>
      <w:pPr>
        <w:jc w:val="both"/>
        <w:ind w:left="480" w:right="500" w:firstLine="552"/>
        <w:spacing w:after="0" w:line="412" w:lineRule="exact"/>
        <w:rPr>
          <w:sz w:val="20"/>
          <w:szCs w:val="20"/>
          <w:color w:val="auto"/>
        </w:rPr>
      </w:pPr>
      <w:r>
        <w:rPr>
          <w:rFonts w:ascii="宋体" w:cs="宋体" w:eastAsia="宋体" w:hAnsi="宋体"/>
          <w:sz w:val="28"/>
          <w:szCs w:val="28"/>
          <w:b w:val="1"/>
          <w:bCs w:val="1"/>
          <w:color w:val="auto"/>
        </w:rPr>
        <w:t>三、双方应加强生物技术监管交流，以增进互相理解与便利农业生物技术产品贸易。</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四、中国应：</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（一）在收到农业生物技术产品用于正式批准申请而提交的申</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报书之日起</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个工作日内开展完整性预审查，通过对比申请表和申</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报书要求，将申报书中不齐全之处告知申请人；</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（二）受理申请人关于食品、饲料和加工用途农业生物技术产</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3-26</w:t>
      </w:r>
    </w:p>
    <w:p>
      <w:pPr>
        <w:sectPr>
          <w:pgSz w:w="12240" w:h="15840" w:orient="portrait"/>
          <w:cols w:equalWidth="0" w:num="1">
            <w:col w:w="9360"/>
          </w:cols>
          <w:pgMar w:left="1440" w:top="1440" w:right="1440" w:bottom="439" w:gutter="0" w:footer="0" w:header="0"/>
        </w:sectPr>
      </w:pPr>
    </w:p>
    <w:bookmarkStart w:id="48" w:name="page49"/>
    <w:bookmarkEnd w:id="48"/>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品进口批准流程的申诉，并在收到合理申诉后采取整改行动；</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（三）当国家农业转基因生物安全委员会需要额外信息来完成</w:t>
      </w:r>
    </w:p>
    <w:p>
      <w:pPr>
        <w:spacing w:after="0" w:line="258" w:lineRule="exact"/>
        <w:rPr>
          <w:sz w:val="20"/>
          <w:szCs w:val="20"/>
          <w:color w:val="auto"/>
        </w:rPr>
      </w:pPr>
    </w:p>
    <w:p>
      <w:pPr>
        <w:jc w:val="both"/>
        <w:ind w:left="480" w:right="480"/>
        <w:spacing w:after="0" w:line="459" w:lineRule="exact"/>
        <w:rPr>
          <w:sz w:val="20"/>
          <w:szCs w:val="20"/>
          <w:color w:val="auto"/>
        </w:rPr>
      </w:pPr>
      <w:r>
        <w:rPr>
          <w:rFonts w:ascii="宋体" w:cs="宋体" w:eastAsia="宋体" w:hAnsi="宋体"/>
          <w:sz w:val="28"/>
          <w:szCs w:val="28"/>
          <w:b w:val="1"/>
          <w:bCs w:val="1"/>
          <w:color w:val="auto"/>
        </w:rPr>
        <w:t>安全评价时，在确定需要额外信息的会议结束</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个工作日内，以书面形式通知申请人提供所有此类信息，并向申请人书面解释通知提供的信息与产品既定用途下的安全性有何相关性；</w:t>
      </w:r>
    </w:p>
    <w:p>
      <w:pPr>
        <w:spacing w:after="0" w:line="389" w:lineRule="exact"/>
        <w:rPr>
          <w:sz w:val="20"/>
          <w:szCs w:val="20"/>
          <w:color w:val="auto"/>
        </w:rPr>
      </w:pPr>
    </w:p>
    <w:p>
      <w:pPr>
        <w:jc w:val="both"/>
        <w:ind w:left="480" w:right="480" w:firstLine="552"/>
        <w:spacing w:after="0" w:line="456" w:lineRule="exact"/>
        <w:rPr>
          <w:sz w:val="20"/>
          <w:szCs w:val="20"/>
          <w:color w:val="auto"/>
        </w:rPr>
      </w:pPr>
      <w:r>
        <w:rPr>
          <w:rFonts w:ascii="宋体" w:cs="宋体" w:eastAsia="宋体" w:hAnsi="宋体"/>
          <w:sz w:val="28"/>
          <w:szCs w:val="28"/>
          <w:b w:val="1"/>
          <w:bCs w:val="1"/>
          <w:color w:val="auto"/>
        </w:rPr>
        <w:t>（四）申请人向国家农业转基因生物安全委员会提交额外信息后，国家农业转基因生物安全委员会将尽快、以必要频率召开会议，以便完成申请审核；以及</w:t>
      </w:r>
    </w:p>
    <w:p>
      <w:pPr>
        <w:spacing w:after="0" w:line="348"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（五）每年至少召开</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次国家农业转基因生物安全委员会会</w:t>
      </w:r>
    </w:p>
    <w:p>
      <w:pPr>
        <w:spacing w:after="0" w:line="201"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议，并视申请数量，根据需要尽可能增加会议召开频次。</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五、中国批准的农业生物技术产品有效期应不少于</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年。</w:t>
      </w:r>
    </w:p>
    <w:p>
      <w:pPr>
        <w:spacing w:after="0" w:line="356" w:lineRule="exact"/>
        <w:rPr>
          <w:sz w:val="20"/>
          <w:szCs w:val="20"/>
          <w:color w:val="auto"/>
        </w:rPr>
      </w:pPr>
    </w:p>
    <w:p>
      <w:pPr>
        <w:jc w:val="both"/>
        <w:ind w:left="480" w:right="480" w:firstLine="552"/>
        <w:spacing w:after="0" w:line="459" w:lineRule="exact"/>
        <w:rPr>
          <w:sz w:val="20"/>
          <w:szCs w:val="20"/>
          <w:color w:val="auto"/>
        </w:rPr>
      </w:pPr>
      <w:r>
        <w:rPr>
          <w:rFonts w:ascii="宋体" w:cs="宋体" w:eastAsia="宋体" w:hAnsi="宋体"/>
          <w:sz w:val="28"/>
          <w:szCs w:val="28"/>
          <w:b w:val="1"/>
          <w:bCs w:val="1"/>
          <w:color w:val="auto"/>
        </w:rPr>
        <w:t>六、中国应在本协议生效之日起</w:t>
      </w:r>
      <w:r>
        <w:rPr>
          <w:rFonts w:ascii="Times New Roman" w:cs="Times New Roman" w:eastAsia="Times New Roman" w:hAnsi="Times New Roman"/>
          <w:sz w:val="28"/>
          <w:szCs w:val="28"/>
          <w:b w:val="1"/>
          <w:bCs w:val="1"/>
          <w:color w:val="auto"/>
        </w:rPr>
        <w:t xml:space="preserve"> 12 </w:t>
      </w:r>
      <w:r>
        <w:rPr>
          <w:rFonts w:ascii="宋体" w:cs="宋体" w:eastAsia="宋体" w:hAnsi="宋体"/>
          <w:sz w:val="28"/>
          <w:szCs w:val="28"/>
          <w:b w:val="1"/>
          <w:bCs w:val="1"/>
          <w:color w:val="auto"/>
        </w:rPr>
        <w:t>个月内，就源于转基因微生物的食品成分审批，建立并公布一套简化、可预测、以科学和风险为基础、高效的安全评价流程。</w:t>
      </w:r>
    </w:p>
    <w:p>
      <w:pPr>
        <w:spacing w:after="0" w:line="347"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七、中国应：</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（一）全年不间断受理农业生物技术产品的批准申请；</w:t>
      </w:r>
    </w:p>
    <w:p>
      <w:pPr>
        <w:spacing w:after="0" w:line="387"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（二）如果一农业生物技术产品的正式批准申请在向美国监管机构提交申报书后但向中国监管机构提交前，向中国提交申报书，</w:t>
      </w:r>
    </w:p>
    <w:p>
      <w:pPr>
        <w:spacing w:after="0" w:line="226" w:lineRule="exact"/>
        <w:rPr>
          <w:sz w:val="20"/>
          <w:szCs w:val="20"/>
          <w:color w:val="auto"/>
        </w:rPr>
      </w:pPr>
    </w:p>
    <w:p>
      <w:pPr>
        <w:jc w:val="center"/>
        <w:spacing w:after="0" w:line="341" w:lineRule="exact"/>
        <w:rPr>
          <w:sz w:val="20"/>
          <w:szCs w:val="20"/>
          <w:color w:val="auto"/>
        </w:rPr>
      </w:pPr>
      <w:r>
        <w:rPr>
          <w:rFonts w:ascii="宋体" w:cs="宋体" w:eastAsia="宋体" w:hAnsi="宋体"/>
          <w:sz w:val="28"/>
          <w:szCs w:val="28"/>
          <w:b w:val="1"/>
          <w:bCs w:val="1"/>
          <w:color w:val="auto"/>
        </w:rPr>
        <w:t>在收到申报书</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个工作日内，对照该产品正式申请提交后将适用的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3-27</w:t>
      </w:r>
    </w:p>
    <w:p>
      <w:pPr>
        <w:sectPr>
          <w:pgSz w:w="12240" w:h="15840" w:orient="portrait"/>
          <w:cols w:equalWidth="0" w:num="1">
            <w:col w:w="9360"/>
          </w:cols>
          <w:pgMar w:left="1440" w:top="1440" w:right="1440" w:bottom="439" w:gutter="0" w:footer="0" w:header="0"/>
        </w:sectPr>
      </w:pPr>
    </w:p>
    <w:bookmarkStart w:id="49" w:name="page50"/>
    <w:bookmarkEnd w:id="49"/>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批准要求，开展申报书完整性预审查；</w:t>
      </w:r>
    </w:p>
    <w:p>
      <w:pPr>
        <w:spacing w:after="0" w:line="387"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（三）在收到正式申请后启动审查该农业生物技术产品的批准申请；</w:t>
      </w:r>
    </w:p>
    <w:p>
      <w:pPr>
        <w:spacing w:after="0" w:line="387"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（四）不要求提供对于产品既定用途下的安全性评价不必要的信息；以及</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（五）对于任何通过中国安全评价的产品，在国家农业转基因</w:t>
      </w:r>
    </w:p>
    <w:p>
      <w:pPr>
        <w:spacing w:after="0" w:line="258" w:lineRule="exact"/>
        <w:rPr>
          <w:sz w:val="20"/>
          <w:szCs w:val="20"/>
          <w:color w:val="auto"/>
        </w:rPr>
      </w:pPr>
    </w:p>
    <w:p>
      <w:pPr>
        <w:jc w:val="both"/>
        <w:ind w:left="480" w:right="480"/>
        <w:spacing w:after="0" w:line="416" w:lineRule="exact"/>
        <w:rPr>
          <w:sz w:val="20"/>
          <w:szCs w:val="20"/>
          <w:color w:val="auto"/>
        </w:rPr>
      </w:pPr>
      <w:r>
        <w:rPr>
          <w:rFonts w:ascii="宋体" w:cs="宋体" w:eastAsia="宋体" w:hAnsi="宋体"/>
          <w:sz w:val="28"/>
          <w:szCs w:val="28"/>
          <w:b w:val="1"/>
          <w:bCs w:val="1"/>
          <w:color w:val="auto"/>
        </w:rPr>
        <w:t>生物安全委员会会议结束</w:t>
      </w:r>
      <w:r>
        <w:rPr>
          <w:rFonts w:ascii="Times New Roman" w:cs="Times New Roman" w:eastAsia="Times New Roman" w:hAnsi="Times New Roman"/>
          <w:sz w:val="28"/>
          <w:szCs w:val="28"/>
          <w:b w:val="1"/>
          <w:bCs w:val="1"/>
          <w:color w:val="auto"/>
        </w:rPr>
        <w:t xml:space="preserve"> 20 </w:t>
      </w:r>
      <w:r>
        <w:rPr>
          <w:rFonts w:ascii="宋体" w:cs="宋体" w:eastAsia="宋体" w:hAnsi="宋体"/>
          <w:sz w:val="28"/>
          <w:szCs w:val="28"/>
          <w:b w:val="1"/>
          <w:bCs w:val="1"/>
          <w:color w:val="auto"/>
        </w:rPr>
        <w:t>个工作日内作出行政批准决定，并颁发生物安全证书。</w:t>
      </w:r>
    </w:p>
    <w:p>
      <w:pPr>
        <w:spacing w:after="0" w:line="388" w:lineRule="exact"/>
        <w:rPr>
          <w:sz w:val="20"/>
          <w:szCs w:val="20"/>
          <w:color w:val="auto"/>
        </w:rPr>
      </w:pPr>
    </w:p>
    <w:p>
      <w:pPr>
        <w:jc w:val="both"/>
        <w:ind w:left="480" w:right="480" w:firstLine="552"/>
        <w:spacing w:after="0" w:line="410" w:lineRule="exact"/>
        <w:rPr>
          <w:sz w:val="20"/>
          <w:szCs w:val="20"/>
          <w:color w:val="auto"/>
        </w:rPr>
      </w:pPr>
      <w:r>
        <w:rPr>
          <w:rFonts w:ascii="宋体" w:cs="宋体" w:eastAsia="宋体" w:hAnsi="宋体"/>
          <w:sz w:val="28"/>
          <w:szCs w:val="28"/>
          <w:b w:val="1"/>
          <w:bCs w:val="1"/>
          <w:color w:val="auto"/>
        </w:rPr>
        <w:t>八、若出现影响美国货物出口至中国的低水平混杂的情况，中国应：</w:t>
      </w:r>
    </w:p>
    <w:p>
      <w:pPr>
        <w:spacing w:after="0" w:line="388" w:lineRule="exact"/>
        <w:rPr>
          <w:sz w:val="20"/>
          <w:szCs w:val="20"/>
          <w:color w:val="auto"/>
        </w:rPr>
      </w:pPr>
    </w:p>
    <w:p>
      <w:pPr>
        <w:jc w:val="both"/>
        <w:ind w:left="480" w:right="480" w:firstLine="552"/>
        <w:spacing w:after="0" w:line="456" w:lineRule="exact"/>
        <w:rPr>
          <w:sz w:val="20"/>
          <w:szCs w:val="20"/>
          <w:color w:val="auto"/>
        </w:rPr>
      </w:pPr>
      <w:r>
        <w:rPr>
          <w:rFonts w:ascii="宋体" w:cs="宋体" w:eastAsia="宋体" w:hAnsi="宋体"/>
          <w:sz w:val="28"/>
          <w:szCs w:val="28"/>
          <w:b w:val="1"/>
          <w:bCs w:val="1"/>
          <w:color w:val="auto"/>
        </w:rPr>
        <w:t>（一）尽快向进口商或进口商代理告知该低水平混杂事件，以及需提交的相关补充资料，以协助中国就该低水平混杂事件的处理作出决策；</w:t>
      </w:r>
    </w:p>
    <w:p>
      <w:pPr>
        <w:spacing w:after="0" w:line="347"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（二）向美国提交该低水平混杂事件的风险或安全评价综述；</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（三）确保该低水平混杂事件的处理没有不必要的拖延；以及</w:t>
      </w:r>
    </w:p>
    <w:p>
      <w:pPr>
        <w:spacing w:after="0" w:line="387"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（四）在决定如何处理低水平混杂事件时，考虑美国或其他国家提供的相关风险或安全评价及批准情况。</w:t>
      </w:r>
    </w:p>
    <w:p>
      <w:pPr>
        <w:spacing w:after="0" w:line="387" w:lineRule="exact"/>
        <w:rPr>
          <w:sz w:val="20"/>
          <w:szCs w:val="20"/>
          <w:color w:val="auto"/>
        </w:rPr>
      </w:pPr>
    </w:p>
    <w:p>
      <w:pPr>
        <w:jc w:val="both"/>
        <w:ind w:left="480" w:right="480" w:firstLine="552"/>
        <w:spacing w:after="0" w:line="412" w:lineRule="exact"/>
        <w:rPr>
          <w:sz w:val="20"/>
          <w:szCs w:val="20"/>
          <w:color w:val="auto"/>
        </w:rPr>
      </w:pPr>
      <w:r>
        <w:rPr>
          <w:rFonts w:ascii="宋体" w:cs="宋体" w:eastAsia="宋体" w:hAnsi="宋体"/>
          <w:sz w:val="28"/>
          <w:szCs w:val="28"/>
          <w:b w:val="1"/>
          <w:bCs w:val="1"/>
          <w:color w:val="auto"/>
        </w:rPr>
        <w:t>九、对于无意或者技术上无法避免的低水平混杂事件，中国应基于个案开展分析评估，尽量降低对贸易的影响。</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3-28</w:t>
      </w:r>
    </w:p>
    <w:p>
      <w:pPr>
        <w:sectPr>
          <w:pgSz w:w="12240" w:h="15840" w:orient="portrait"/>
          <w:cols w:equalWidth="0" w:num="1">
            <w:col w:w="9360"/>
          </w:cols>
          <w:pgMar w:left="1440" w:top="1440" w:right="1440" w:bottom="439" w:gutter="0" w:footer="0" w:header="0"/>
        </w:sectPr>
      </w:pPr>
    </w:p>
    <w:bookmarkStart w:id="50" w:name="page51"/>
    <w:bookmarkEnd w:id="50"/>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十、双方同意组织专家对低水平混杂问题开展进一步研究，并</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开展国际合作寻求解决低水平混杂的务实做法。</w:t>
      </w:r>
    </w:p>
    <w:p>
      <w:pPr>
        <w:spacing w:after="0" w:line="345" w:lineRule="exact"/>
        <w:rPr>
          <w:sz w:val="20"/>
          <w:szCs w:val="20"/>
          <w:color w:val="auto"/>
        </w:rPr>
      </w:pPr>
    </w:p>
    <w:p>
      <w:pPr>
        <w:jc w:val="center"/>
        <w:spacing w:after="0" w:line="320" w:lineRule="exact"/>
        <w:rPr>
          <w:sz w:val="20"/>
          <w:szCs w:val="20"/>
          <w:color w:val="auto"/>
        </w:rPr>
      </w:pPr>
      <w:r>
        <w:rPr>
          <w:rFonts w:ascii="宋体" w:cs="宋体" w:eastAsia="宋体" w:hAnsi="宋体"/>
          <w:sz w:val="28"/>
          <w:szCs w:val="28"/>
          <w:b w:val="1"/>
          <w:bCs w:val="1"/>
          <w:color w:val="auto"/>
        </w:rPr>
        <w:t>附录十七 食品安全</w:t>
      </w:r>
    </w:p>
    <w:p>
      <w:pPr>
        <w:spacing w:after="0" w:line="200" w:lineRule="exact"/>
        <w:rPr>
          <w:sz w:val="20"/>
          <w:szCs w:val="20"/>
          <w:color w:val="auto"/>
        </w:rPr>
      </w:pPr>
    </w:p>
    <w:p>
      <w:pPr>
        <w:spacing w:after="0" w:line="20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一、双方不得实施未基于科学和风险的食品安全法规或要求另</w:t>
      </w:r>
    </w:p>
    <w:p>
      <w:pPr>
        <w:spacing w:after="0" w:line="34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一方监管部门未基于科学和风险的行动，且应只使用该法规和要求</w:t>
      </w:r>
    </w:p>
    <w:p>
      <w:pPr>
        <w:spacing w:after="0" w:line="22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该行动以保护人类生命或健康所需程度为限。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3-29</w:t>
      </w:r>
    </w:p>
    <w:p>
      <w:pPr>
        <w:sectPr>
          <w:pgSz w:w="12240" w:h="15840" w:orient="portrait"/>
          <w:cols w:equalWidth="0" w:num="1">
            <w:col w:w="9360"/>
          </w:cols>
          <w:pgMar w:left="1440" w:top="1440" w:right="1440" w:bottom="439" w:gutter="0" w:footer="0" w:header="0"/>
        </w:sectPr>
      </w:pPr>
    </w:p>
    <w:bookmarkStart w:id="51" w:name="page52"/>
    <w:bookmarkEnd w:id="51"/>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200"/>
        <w:spacing w:after="0" w:line="341" w:lineRule="exact"/>
        <w:rPr>
          <w:sz w:val="20"/>
          <w:szCs w:val="20"/>
          <w:color w:val="auto"/>
        </w:rPr>
      </w:pPr>
      <w:r>
        <w:rPr>
          <w:rFonts w:ascii="宋体" w:cs="宋体" w:eastAsia="宋体" w:hAnsi="宋体"/>
          <w:sz w:val="28"/>
          <w:szCs w:val="28"/>
          <w:b w:val="1"/>
          <w:bCs w:val="1"/>
          <w:color w:val="auto"/>
        </w:rPr>
        <w:t>附件</w:t>
      </w:r>
      <w:r>
        <w:rPr>
          <w:rFonts w:ascii="Times New Roman" w:cs="Times New Roman" w:eastAsia="Times New Roman" w:hAnsi="Times New Roman"/>
          <w:sz w:val="28"/>
          <w:szCs w:val="28"/>
          <w:b w:val="1"/>
          <w:bCs w:val="1"/>
          <w:color w:val="auto"/>
        </w:rPr>
        <w:t xml:space="preserve"> 1</w:t>
      </w:r>
      <w:r>
        <w:rPr>
          <w:rFonts w:ascii="宋体" w:cs="宋体" w:eastAsia="宋体" w:hAnsi="宋体"/>
          <w:sz w:val="28"/>
          <w:szCs w:val="28"/>
          <w:b w:val="1"/>
          <w:bCs w:val="1"/>
          <w:color w:val="auto"/>
        </w:rPr>
        <w:t>：被认为不符合输入中国的牛肉、猪肉和禽类产品</w:t>
      </w:r>
    </w:p>
    <w:p>
      <w:pPr>
        <w:spacing w:after="0" w:line="252" w:lineRule="exact"/>
        <w:rPr>
          <w:sz w:val="20"/>
          <w:szCs w:val="20"/>
          <w:color w:val="auto"/>
        </w:rPr>
      </w:pPr>
    </w:p>
    <w:p>
      <w:pPr>
        <w:ind w:left="480" w:right="220" w:firstLine="641"/>
        <w:spacing w:after="0" w:line="512" w:lineRule="exact"/>
        <w:rPr>
          <w:sz w:val="20"/>
          <w:szCs w:val="20"/>
          <w:color w:val="auto"/>
        </w:rPr>
      </w:pPr>
      <w:r>
        <w:rPr>
          <w:rFonts w:ascii="宋体" w:cs="宋体" w:eastAsia="宋体" w:hAnsi="宋体"/>
          <w:sz w:val="28"/>
          <w:szCs w:val="28"/>
          <w:b w:val="1"/>
          <w:bCs w:val="1"/>
          <w:color w:val="auto"/>
        </w:rPr>
        <w:t>美国法律法规要求销毁在屠宰时或屠宰后续检查中发现的患病、掺假或其他不合格的肉类和禽类胴体、分割部分及产品。美国农业部食品安全检验局不允许已确定为不合格的，或被牛的粪便、异物、脑脊液等污染的肉类或禽类产品进入市场。表现出全身系统症状或病理变化的动物将被销毁。美国农业部食品安全检验局公共卫生兽医在食品安全检验局证书中证明，相关肉类或禽类产品来自已经过宰前和宰后检验且完好健康的动物。此外，产品已依据美国农业部法律法规进行与通过检验，且产品卫生、适宜人类食用。</w:t>
      </w:r>
    </w:p>
    <w:p>
      <w:pPr>
        <w:spacing w:after="0" w:line="389" w:lineRule="exact"/>
        <w:rPr>
          <w:sz w:val="20"/>
          <w:szCs w:val="20"/>
          <w:color w:val="auto"/>
        </w:rPr>
      </w:pPr>
    </w:p>
    <w:p>
      <w:pPr>
        <w:ind w:left="480" w:right="480" w:firstLine="641"/>
        <w:spacing w:after="0" w:line="412" w:lineRule="exact"/>
        <w:rPr>
          <w:sz w:val="20"/>
          <w:szCs w:val="20"/>
          <w:color w:val="auto"/>
        </w:rPr>
      </w:pPr>
      <w:r>
        <w:rPr>
          <w:rFonts w:ascii="宋体" w:cs="宋体" w:eastAsia="宋体" w:hAnsi="宋体"/>
          <w:sz w:val="28"/>
          <w:szCs w:val="28"/>
          <w:b w:val="1"/>
          <w:bCs w:val="1"/>
          <w:color w:val="auto"/>
        </w:rPr>
        <w:t>以下清单列出不符合输入中国的产品，包括含下列产品的加工产品：</w:t>
      </w:r>
    </w:p>
    <w:p>
      <w:pPr>
        <w:spacing w:after="0" w:line="346" w:lineRule="exact"/>
        <w:rPr>
          <w:sz w:val="20"/>
          <w:szCs w:val="20"/>
          <w:color w:val="auto"/>
        </w:rPr>
      </w:pPr>
    </w:p>
    <w:p>
      <w:pPr>
        <w:ind w:left="1120"/>
        <w:spacing w:after="0" w:line="341" w:lineRule="exact"/>
        <w:rPr>
          <w:sz w:val="20"/>
          <w:szCs w:val="20"/>
          <w:color w:val="auto"/>
        </w:rPr>
      </w:pP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．牛肉和猪肉：甲状腺、肾上腺、尾脂腺、扁桃体、屠宰和分</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割过程中暴露的主要淋巴结、喉部肌肉组织、肺、胰腺、脾脏、胆</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囊、子宫、毛发、蹄和泌乳乳腺；</w:t>
      </w:r>
    </w:p>
    <w:p>
      <w:pPr>
        <w:spacing w:after="0" w:line="347" w:lineRule="exact"/>
        <w:rPr>
          <w:sz w:val="20"/>
          <w:szCs w:val="20"/>
          <w:color w:val="auto"/>
        </w:rPr>
      </w:pPr>
    </w:p>
    <w:p>
      <w:pPr>
        <w:ind w:left="1120"/>
        <w:spacing w:after="0" w:line="341" w:lineRule="exact"/>
        <w:rPr>
          <w:sz w:val="20"/>
          <w:szCs w:val="20"/>
          <w:color w:val="auto"/>
        </w:rPr>
      </w:pP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．牛角；</w:t>
      </w:r>
    </w:p>
    <w:p>
      <w:pPr>
        <w:spacing w:after="0" w:line="324" w:lineRule="exact"/>
        <w:rPr>
          <w:sz w:val="20"/>
          <w:szCs w:val="20"/>
          <w:color w:val="auto"/>
        </w:rPr>
      </w:pPr>
    </w:p>
    <w:p>
      <w:pPr>
        <w:ind w:left="1120"/>
        <w:spacing w:after="0" w:line="341" w:lineRule="exact"/>
        <w:rPr>
          <w:sz w:val="20"/>
          <w:szCs w:val="20"/>
          <w:color w:val="auto"/>
        </w:rPr>
      </w:pP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．任何年龄牛的机械分离肉和回肠末端；</w:t>
      </w:r>
    </w:p>
    <w:p>
      <w:pPr>
        <w:spacing w:after="0" w:line="324" w:lineRule="exact"/>
        <w:rPr>
          <w:sz w:val="20"/>
          <w:szCs w:val="20"/>
          <w:color w:val="auto"/>
        </w:rPr>
      </w:pPr>
    </w:p>
    <w:p>
      <w:pPr>
        <w:ind w:left="1120"/>
        <w:spacing w:after="0" w:line="341" w:lineRule="exact"/>
        <w:rPr>
          <w:sz w:val="20"/>
          <w:szCs w:val="20"/>
          <w:color w:val="auto"/>
        </w:rPr>
      </w:pPr>
      <w:r>
        <w:rPr>
          <w:rFonts w:ascii="Times New Roman" w:cs="Times New Roman" w:eastAsia="Times New Roman" w:hAnsi="Times New Roman"/>
          <w:sz w:val="28"/>
          <w:szCs w:val="28"/>
          <w:b w:val="1"/>
          <w:bCs w:val="1"/>
          <w:color w:val="auto"/>
        </w:rPr>
        <w:t>4</w:t>
      </w:r>
      <w:r>
        <w:rPr>
          <w:rFonts w:ascii="宋体" w:cs="宋体" w:eastAsia="宋体" w:hAnsi="宋体"/>
          <w:sz w:val="28"/>
          <w:szCs w:val="28"/>
          <w:b w:val="1"/>
          <w:bCs w:val="1"/>
          <w:color w:val="auto"/>
        </w:rPr>
        <w:t>．</w:t>
      </w:r>
      <w:r>
        <w:rPr>
          <w:rFonts w:ascii="Times New Roman" w:cs="Times New Roman" w:eastAsia="Times New Roman" w:hAnsi="Times New Roman"/>
          <w:sz w:val="28"/>
          <w:szCs w:val="28"/>
          <w:b w:val="1"/>
          <w:bCs w:val="1"/>
          <w:color w:val="auto"/>
        </w:rPr>
        <w:t xml:space="preserve">30 </w:t>
      </w:r>
      <w:r>
        <w:rPr>
          <w:rFonts w:ascii="宋体" w:cs="宋体" w:eastAsia="宋体" w:hAnsi="宋体"/>
          <w:sz w:val="28"/>
          <w:szCs w:val="28"/>
          <w:b w:val="1"/>
          <w:bCs w:val="1"/>
          <w:color w:val="auto"/>
        </w:rPr>
        <w:t>月龄及以上牛只的脑、颅、眼、三叉神经节、脊髓、背</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根神经节和脊柱（尾椎、胸腰椎横突、骶骨翼除外）；以及</w:t>
      </w:r>
    </w:p>
    <w:p>
      <w:pPr>
        <w:spacing w:after="0" w:line="346" w:lineRule="exact"/>
        <w:rPr>
          <w:sz w:val="20"/>
          <w:szCs w:val="20"/>
          <w:color w:val="auto"/>
        </w:rPr>
      </w:pPr>
    </w:p>
    <w:p>
      <w:pPr>
        <w:ind w:left="1120"/>
        <w:spacing w:after="0" w:line="341" w:lineRule="exact"/>
        <w:rPr>
          <w:sz w:val="20"/>
          <w:szCs w:val="20"/>
          <w:color w:val="auto"/>
        </w:rPr>
      </w:pPr>
      <w:r>
        <w:rPr>
          <w:rFonts w:ascii="Times New Roman" w:cs="Times New Roman" w:eastAsia="Times New Roman" w:hAnsi="Times New Roman"/>
          <w:sz w:val="28"/>
          <w:szCs w:val="28"/>
          <w:b w:val="1"/>
          <w:bCs w:val="1"/>
          <w:color w:val="auto"/>
        </w:rPr>
        <w:t>5</w:t>
      </w:r>
      <w:r>
        <w:rPr>
          <w:rFonts w:ascii="宋体" w:cs="宋体" w:eastAsia="宋体" w:hAnsi="宋体"/>
          <w:sz w:val="28"/>
          <w:szCs w:val="28"/>
          <w:b w:val="1"/>
          <w:bCs w:val="1"/>
          <w:color w:val="auto"/>
        </w:rPr>
        <w:t>．禽类羽毛、头部、肠和尾部。</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3-30</w:t>
      </w:r>
    </w:p>
    <w:p>
      <w:pPr>
        <w:sectPr>
          <w:pgSz w:w="12240" w:h="15840" w:orient="portrait"/>
          <w:cols w:equalWidth="0" w:num="1">
            <w:col w:w="9360"/>
          </w:cols>
          <w:pgMar w:left="1440" w:top="1440" w:right="1440" w:bottom="439" w:gutter="0" w:footer="0" w:header="0"/>
        </w:sectPr>
      </w:pPr>
    </w:p>
    <w:bookmarkStart w:id="52" w:name="page53"/>
    <w:bookmarkEnd w:id="52"/>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6720"/>
        <w:spacing w:after="0" w:line="329" w:lineRule="exact"/>
        <w:rPr>
          <w:sz w:val="20"/>
          <w:szCs w:val="20"/>
          <w:color w:val="auto"/>
        </w:rPr>
      </w:pPr>
      <w:r>
        <w:rPr>
          <w:rFonts w:ascii="Times New Roman" w:cs="Times New Roman" w:eastAsia="Times New Roman" w:hAnsi="Times New Roman"/>
          <w:sz w:val="27"/>
          <w:szCs w:val="27"/>
          <w:b w:val="1"/>
          <w:bCs w:val="1"/>
          <w:color w:val="auto"/>
        </w:rPr>
        <w:t xml:space="preserve">2020 </w:t>
      </w:r>
      <w:r>
        <w:rPr>
          <w:rFonts w:ascii="宋体" w:cs="宋体" w:eastAsia="宋体" w:hAnsi="宋体"/>
          <w:sz w:val="27"/>
          <w:szCs w:val="27"/>
          <w:b w:val="1"/>
          <w:bCs w:val="1"/>
          <w:color w:val="auto"/>
        </w:rPr>
        <w:t>年</w:t>
      </w:r>
      <w:r>
        <w:rPr>
          <w:rFonts w:ascii="Times New Roman" w:cs="Times New Roman" w:eastAsia="Times New Roman" w:hAnsi="Times New Roman"/>
          <w:sz w:val="27"/>
          <w:szCs w:val="27"/>
          <w:b w:val="1"/>
          <w:bCs w:val="1"/>
          <w:color w:val="auto"/>
        </w:rPr>
        <w:t xml:space="preserve"> 1 </w:t>
      </w:r>
      <w:r>
        <w:rPr>
          <w:rFonts w:ascii="宋体" w:cs="宋体" w:eastAsia="宋体" w:hAnsi="宋体"/>
          <w:sz w:val="27"/>
          <w:szCs w:val="27"/>
          <w:b w:val="1"/>
          <w:bCs w:val="1"/>
          <w:color w:val="auto"/>
        </w:rPr>
        <w:t>月</w:t>
      </w:r>
      <w:r>
        <w:rPr>
          <w:rFonts w:ascii="Times New Roman" w:cs="Times New Roman" w:eastAsia="Times New Roman" w:hAnsi="Times New Roman"/>
          <w:sz w:val="27"/>
          <w:szCs w:val="27"/>
          <w:b w:val="1"/>
          <w:bCs w:val="1"/>
          <w:color w:val="auto"/>
        </w:rPr>
        <w:t xml:space="preserve"> 15 </w:t>
      </w:r>
      <w:r>
        <w:rPr>
          <w:rFonts w:ascii="宋体" w:cs="宋体" w:eastAsia="宋体" w:hAnsi="宋体"/>
          <w:sz w:val="27"/>
          <w:szCs w:val="27"/>
          <w:b w:val="1"/>
          <w:bCs w:val="1"/>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致：华盛顿哥伦比亚特区西北区</w:t>
      </w:r>
      <w:r>
        <w:rPr>
          <w:rFonts w:ascii="Times New Roman" w:cs="Times New Roman" w:eastAsia="Times New Roman" w:hAnsi="Times New Roman"/>
          <w:sz w:val="28"/>
          <w:szCs w:val="28"/>
          <w:b w:val="1"/>
          <w:bCs w:val="1"/>
          <w:color w:val="auto"/>
        </w:rPr>
        <w:t xml:space="preserve"> 17 </w:t>
      </w:r>
      <w:r>
        <w:rPr>
          <w:rFonts w:ascii="宋体" w:cs="宋体" w:eastAsia="宋体" w:hAnsi="宋体"/>
          <w:sz w:val="28"/>
          <w:szCs w:val="28"/>
          <w:b w:val="1"/>
          <w:bCs w:val="1"/>
          <w:color w:val="auto"/>
        </w:rPr>
        <w:t>路</w:t>
      </w:r>
      <w:r>
        <w:rPr>
          <w:rFonts w:ascii="Times New Roman" w:cs="Times New Roman" w:eastAsia="Times New Roman" w:hAnsi="Times New Roman"/>
          <w:sz w:val="28"/>
          <w:szCs w:val="28"/>
          <w:b w:val="1"/>
          <w:bCs w:val="1"/>
          <w:color w:val="auto"/>
        </w:rPr>
        <w:t xml:space="preserve"> 600 </w:t>
      </w:r>
      <w:r>
        <w:rPr>
          <w:rFonts w:ascii="宋体" w:cs="宋体" w:eastAsia="宋体" w:hAnsi="宋体"/>
          <w:sz w:val="28"/>
          <w:szCs w:val="28"/>
          <w:b w:val="1"/>
          <w:bCs w:val="1"/>
          <w:color w:val="auto"/>
        </w:rPr>
        <w:t>号</w:t>
      </w:r>
      <w:r>
        <w:rPr>
          <w:rFonts w:ascii="Times New Roman" w:cs="Times New Roman" w:eastAsia="Times New Roman" w:hAnsi="Times New Roman"/>
          <w:sz w:val="28"/>
          <w:szCs w:val="28"/>
          <w:b w:val="1"/>
          <w:bCs w:val="1"/>
          <w:color w:val="auto"/>
        </w:rPr>
        <w:t xml:space="preserve"> 20250</w:t>
      </w:r>
    </w:p>
    <w:p>
      <w:pPr>
        <w:spacing w:after="0" w:line="32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美国贸易代表办公室</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首席农业谈判代表</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格雷格</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多德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尊敬的多德大使：</w:t>
      </w:r>
    </w:p>
    <w:p>
      <w:pPr>
        <w:spacing w:after="0" w:line="388" w:lineRule="exact"/>
        <w:rPr>
          <w:sz w:val="20"/>
          <w:szCs w:val="20"/>
          <w:color w:val="auto"/>
        </w:rPr>
      </w:pPr>
    </w:p>
    <w:p>
      <w:pPr>
        <w:jc w:val="both"/>
        <w:ind w:left="480" w:right="480" w:firstLine="641"/>
        <w:spacing w:after="0" w:line="412" w:lineRule="exact"/>
        <w:rPr>
          <w:sz w:val="20"/>
          <w:szCs w:val="20"/>
          <w:color w:val="auto"/>
        </w:rPr>
      </w:pPr>
      <w:r>
        <w:rPr>
          <w:rFonts w:ascii="宋体" w:cs="宋体" w:eastAsia="宋体" w:hAnsi="宋体"/>
          <w:sz w:val="28"/>
          <w:szCs w:val="28"/>
          <w:b w:val="1"/>
          <w:bCs w:val="1"/>
          <w:color w:val="auto"/>
        </w:rPr>
        <w:t>我谨确认中华人民共和国（中国）政府代表与美利坚合众国（美国）政府代表达成如下一致意见：</w:t>
      </w:r>
    </w:p>
    <w:p>
      <w:pPr>
        <w:spacing w:after="0" w:line="387" w:lineRule="exact"/>
        <w:rPr>
          <w:sz w:val="20"/>
          <w:szCs w:val="20"/>
          <w:color w:val="auto"/>
        </w:rPr>
      </w:pPr>
    </w:p>
    <w:p>
      <w:pPr>
        <w:jc w:val="both"/>
        <w:ind w:left="480" w:right="480" w:firstLine="641"/>
        <w:spacing w:after="0" w:line="412" w:lineRule="exact"/>
        <w:rPr>
          <w:sz w:val="20"/>
          <w:szCs w:val="20"/>
          <w:color w:val="auto"/>
        </w:rPr>
      </w:pPr>
      <w:r>
        <w:rPr>
          <w:rFonts w:ascii="宋体" w:cs="宋体" w:eastAsia="宋体" w:hAnsi="宋体"/>
          <w:sz w:val="28"/>
          <w:szCs w:val="28"/>
          <w:b w:val="1"/>
          <w:bCs w:val="1"/>
          <w:color w:val="auto"/>
        </w:rPr>
        <w:t>中国不要求美国低风险食品提供证书，包括美国视为深加工且货架期稳定的所有美国食品。</w:t>
      </w:r>
    </w:p>
    <w:p>
      <w:pPr>
        <w:spacing w:after="0" w:line="387" w:lineRule="exact"/>
        <w:rPr>
          <w:sz w:val="20"/>
          <w:szCs w:val="20"/>
          <w:color w:val="auto"/>
        </w:rPr>
      </w:pPr>
    </w:p>
    <w:p>
      <w:pPr>
        <w:jc w:val="both"/>
        <w:ind w:left="480" w:right="500" w:firstLine="641"/>
        <w:spacing w:after="0" w:line="412" w:lineRule="exact"/>
        <w:rPr>
          <w:sz w:val="20"/>
          <w:szCs w:val="20"/>
          <w:color w:val="auto"/>
        </w:rPr>
      </w:pPr>
      <w:r>
        <w:rPr>
          <w:rFonts w:ascii="宋体" w:cs="宋体" w:eastAsia="宋体" w:hAnsi="宋体"/>
          <w:sz w:val="28"/>
          <w:szCs w:val="28"/>
          <w:b w:val="1"/>
          <w:bCs w:val="1"/>
          <w:color w:val="auto"/>
        </w:rPr>
        <w:t>另，中国应加入国际食品法典委员会食品进出口检验与认证分委会下设的食品假冒和食品真实性电子工作组。</w:t>
      </w:r>
    </w:p>
    <w:p>
      <w:pPr>
        <w:spacing w:after="0" w:line="346" w:lineRule="exact"/>
        <w:rPr>
          <w:sz w:val="20"/>
          <w:szCs w:val="20"/>
          <w:color w:val="auto"/>
        </w:rPr>
      </w:pPr>
    </w:p>
    <w:p>
      <w:pPr>
        <w:ind w:left="1120"/>
        <w:spacing w:after="0" w:line="320" w:lineRule="exact"/>
        <w:rPr>
          <w:sz w:val="20"/>
          <w:szCs w:val="20"/>
          <w:color w:val="auto"/>
        </w:rPr>
      </w:pPr>
      <w:r>
        <w:rPr>
          <w:rFonts w:ascii="宋体" w:cs="宋体" w:eastAsia="宋体" w:hAnsi="宋体"/>
          <w:sz w:val="28"/>
          <w:szCs w:val="28"/>
          <w:b w:val="1"/>
          <w:bCs w:val="1"/>
          <w:color w:val="auto"/>
        </w:rPr>
        <w:t>我谨提议，本函和贵国政府确认同意该一致意见的回函应构成</w:t>
      </w:r>
    </w:p>
    <w:p>
      <w:pPr>
        <w:spacing w:after="0" w:line="258" w:lineRule="exact"/>
        <w:rPr>
          <w:sz w:val="20"/>
          <w:szCs w:val="20"/>
          <w:color w:val="auto"/>
        </w:rPr>
      </w:pPr>
    </w:p>
    <w:p>
      <w:pPr>
        <w:jc w:val="both"/>
        <w:ind w:left="480" w:right="480"/>
        <w:spacing w:after="0" w:line="459" w:lineRule="exact"/>
        <w:rPr>
          <w:sz w:val="20"/>
          <w:szCs w:val="20"/>
          <w:color w:val="auto"/>
        </w:rPr>
      </w:pPr>
      <w:r>
        <w:rPr>
          <w:rFonts w:ascii="宋体" w:cs="宋体" w:eastAsia="宋体" w:hAnsi="宋体"/>
          <w:sz w:val="28"/>
          <w:szCs w:val="28"/>
          <w:b w:val="1"/>
          <w:bCs w:val="1"/>
          <w:color w:val="auto"/>
        </w:rPr>
        <w:t>两国政府间协议，且受</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日签署的《中华人民共和国政府和美利坚合众国政府经济贸易协议》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双边评估与争端解决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一章条款约束，并于该协议生效之日同时生效。</w:t>
      </w:r>
    </w:p>
    <w:p>
      <w:pPr>
        <w:spacing w:after="0" w:line="348" w:lineRule="exact"/>
        <w:rPr>
          <w:sz w:val="20"/>
          <w:szCs w:val="20"/>
          <w:color w:val="auto"/>
        </w:rPr>
      </w:pPr>
    </w:p>
    <w:p>
      <w:pPr>
        <w:ind w:left="1120"/>
        <w:spacing w:after="0" w:line="320" w:lineRule="exact"/>
        <w:rPr>
          <w:sz w:val="20"/>
          <w:szCs w:val="20"/>
          <w:color w:val="auto"/>
        </w:rPr>
      </w:pPr>
      <w:r>
        <w:rPr>
          <w:rFonts w:ascii="宋体" w:cs="宋体" w:eastAsia="宋体" w:hAnsi="宋体"/>
          <w:sz w:val="28"/>
          <w:szCs w:val="28"/>
          <w:b w:val="1"/>
          <w:bCs w:val="1"/>
          <w:color w:val="auto"/>
        </w:rPr>
        <w:t>您诚挚的，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3-31</w:t>
      </w:r>
    </w:p>
    <w:p>
      <w:pPr>
        <w:sectPr>
          <w:pgSz w:w="12240" w:h="15840" w:orient="portrait"/>
          <w:cols w:equalWidth="0" w:num="1">
            <w:col w:w="9360"/>
          </w:cols>
          <w:pgMar w:left="1440" w:top="1440" w:right="1440" w:bottom="439" w:gutter="0" w:footer="0" w:header="0"/>
        </w:sectPr>
      </w:pPr>
    </w:p>
    <w:bookmarkStart w:id="53" w:name="page54"/>
    <w:bookmarkEnd w:id="53"/>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6800"/>
        <w:spacing w:after="0" w:line="320" w:lineRule="exact"/>
        <w:rPr>
          <w:sz w:val="20"/>
          <w:szCs w:val="20"/>
          <w:color w:val="auto"/>
        </w:rPr>
      </w:pPr>
      <w:r>
        <w:rPr>
          <w:rFonts w:ascii="宋体" w:cs="宋体" w:eastAsia="宋体" w:hAnsi="宋体"/>
          <w:sz w:val="28"/>
          <w:szCs w:val="28"/>
          <w:b w:val="1"/>
          <w:bCs w:val="1"/>
          <w:color w:val="auto"/>
        </w:rPr>
        <w:t>中华人民共和国</w:t>
      </w:r>
    </w:p>
    <w:p>
      <w:pPr>
        <w:spacing w:after="0" w:line="345" w:lineRule="exact"/>
        <w:rPr>
          <w:sz w:val="20"/>
          <w:szCs w:val="20"/>
          <w:color w:val="auto"/>
        </w:rPr>
      </w:pPr>
    </w:p>
    <w:p>
      <w:pPr>
        <w:jc w:val="right"/>
        <w:ind w:right="480"/>
        <w:spacing w:after="0" w:line="320" w:lineRule="exact"/>
        <w:rPr>
          <w:sz w:val="20"/>
          <w:szCs w:val="20"/>
          <w:color w:val="auto"/>
        </w:rPr>
      </w:pPr>
      <w:r>
        <w:rPr>
          <w:rFonts w:ascii="宋体" w:cs="宋体" w:eastAsia="宋体" w:hAnsi="宋体"/>
          <w:sz w:val="28"/>
          <w:szCs w:val="28"/>
          <w:b w:val="1"/>
          <w:bCs w:val="1"/>
          <w:color w:val="auto"/>
        </w:rPr>
        <w:t>农业农村部副部长</w:t>
      </w:r>
    </w:p>
    <w:p>
      <w:pPr>
        <w:spacing w:after="0" w:line="345" w:lineRule="exact"/>
        <w:rPr>
          <w:sz w:val="20"/>
          <w:szCs w:val="20"/>
          <w:color w:val="auto"/>
        </w:rPr>
      </w:pPr>
    </w:p>
    <w:p>
      <w:pPr>
        <w:ind w:left="7500"/>
        <w:spacing w:after="0" w:line="320" w:lineRule="exact"/>
        <w:rPr>
          <w:sz w:val="20"/>
          <w:szCs w:val="20"/>
          <w:color w:val="auto"/>
        </w:rPr>
      </w:pPr>
      <w:r>
        <w:rPr>
          <w:rFonts w:ascii="宋体" w:cs="宋体" w:eastAsia="宋体" w:hAnsi="宋体"/>
          <w:sz w:val="28"/>
          <w:szCs w:val="28"/>
          <w:b w:val="1"/>
          <w:bCs w:val="1"/>
          <w:color w:val="auto"/>
        </w:rPr>
        <w:t>韩俊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color w:val="auto"/>
        </w:rPr>
        <w:t>3-32</w:t>
      </w:r>
    </w:p>
    <w:p>
      <w:pPr>
        <w:sectPr>
          <w:pgSz w:w="12240" w:h="15840" w:orient="portrait"/>
          <w:cols w:equalWidth="0" w:num="1">
            <w:col w:w="9360"/>
          </w:cols>
          <w:pgMar w:left="1440" w:top="1440" w:right="1440" w:bottom="439" w:gutter="0" w:footer="0" w:header="0"/>
        </w:sectPr>
      </w:pPr>
    </w:p>
    <w:bookmarkStart w:id="54" w:name="page55"/>
    <w:bookmarkEnd w:id="54"/>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right"/>
        <w:ind w:right="46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1180" w:right="2260" w:hanging="690"/>
        <w:spacing w:after="0" w:line="476" w:lineRule="exact"/>
        <w:rPr>
          <w:sz w:val="20"/>
          <w:szCs w:val="20"/>
          <w:color w:val="auto"/>
        </w:rPr>
      </w:pPr>
      <w:r>
        <w:rPr>
          <w:rFonts w:ascii="宋体" w:cs="宋体" w:eastAsia="宋体" w:hAnsi="宋体"/>
          <w:sz w:val="28"/>
          <w:szCs w:val="28"/>
          <w:b w:val="1"/>
          <w:bCs w:val="1"/>
          <w:color w:val="auto"/>
        </w:rPr>
        <w:t>致： 中华人民共和国北京市农展馆南里</w:t>
      </w:r>
      <w:r>
        <w:rPr>
          <w:rFonts w:ascii="Times New Roman" w:cs="Times New Roman" w:eastAsia="Times New Roman" w:hAnsi="Times New Roman"/>
          <w:sz w:val="28"/>
          <w:szCs w:val="28"/>
          <w:b w:val="1"/>
          <w:bCs w:val="1"/>
          <w:color w:val="auto"/>
        </w:rPr>
        <w:t xml:space="preserve"> 11 </w:t>
      </w:r>
      <w:r>
        <w:rPr>
          <w:rFonts w:ascii="宋体" w:cs="宋体" w:eastAsia="宋体" w:hAnsi="宋体"/>
          <w:sz w:val="28"/>
          <w:szCs w:val="28"/>
          <w:b w:val="1"/>
          <w:bCs w:val="1"/>
          <w:color w:val="auto"/>
        </w:rPr>
        <w:t>号</w:t>
      </w:r>
      <w:r>
        <w:rPr>
          <w:rFonts w:ascii="Times New Roman" w:cs="Times New Roman" w:eastAsia="Times New Roman" w:hAnsi="Times New Roman"/>
          <w:sz w:val="28"/>
          <w:szCs w:val="28"/>
          <w:b w:val="1"/>
          <w:bCs w:val="1"/>
          <w:color w:val="auto"/>
        </w:rPr>
        <w:t xml:space="preserve"> 100125 </w:t>
      </w:r>
      <w:r>
        <w:rPr>
          <w:rFonts w:ascii="宋体" w:cs="宋体" w:eastAsia="宋体" w:hAnsi="宋体"/>
          <w:sz w:val="28"/>
          <w:szCs w:val="28"/>
          <w:b w:val="1"/>
          <w:bCs w:val="1"/>
          <w:color w:val="auto"/>
        </w:rPr>
        <w:t>中华人民共和国农业农村部副部长</w:t>
      </w:r>
    </w:p>
    <w:p>
      <w:pPr>
        <w:spacing w:after="0" w:line="346" w:lineRule="exact"/>
        <w:rPr>
          <w:sz w:val="20"/>
          <w:szCs w:val="20"/>
          <w:color w:val="auto"/>
        </w:rPr>
      </w:pPr>
    </w:p>
    <w:p>
      <w:pPr>
        <w:ind w:left="1180"/>
        <w:spacing w:after="0" w:line="320" w:lineRule="exact"/>
        <w:rPr>
          <w:sz w:val="20"/>
          <w:szCs w:val="20"/>
          <w:color w:val="auto"/>
        </w:rPr>
      </w:pPr>
      <w:r>
        <w:rPr>
          <w:rFonts w:ascii="宋体" w:cs="宋体" w:eastAsia="宋体" w:hAnsi="宋体"/>
          <w:sz w:val="28"/>
          <w:szCs w:val="28"/>
          <w:b w:val="1"/>
          <w:bCs w:val="1"/>
          <w:color w:val="auto"/>
        </w:rPr>
        <w:t>韩俊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尊敬的韩俊副部长：</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很高兴收到您</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日来函，内容如下：</w:t>
      </w:r>
    </w:p>
    <w:p>
      <w:pPr>
        <w:spacing w:after="0" w:line="304" w:lineRule="exact"/>
        <w:rPr>
          <w:sz w:val="20"/>
          <w:szCs w:val="20"/>
          <w:color w:val="auto"/>
        </w:rPr>
      </w:pPr>
    </w:p>
    <w:p>
      <w:pPr>
        <w:ind w:left="1040"/>
        <w:spacing w:after="0" w:line="340" w:lineRule="exact"/>
        <w:rPr>
          <w:sz w:val="20"/>
          <w:szCs w:val="20"/>
          <w:color w:val="auto"/>
        </w:rPr>
      </w:pPr>
      <w:r>
        <w:rPr>
          <w:rFonts w:ascii="Arial" w:cs="Arial" w:eastAsia="Arial" w:hAnsi="Arial"/>
          <w:sz w:val="28"/>
          <w:szCs w:val="28"/>
          <w:b w:val="1"/>
          <w:bCs w:val="1"/>
          <w:color w:val="auto"/>
        </w:rPr>
        <w:t>“</w:t>
      </w:r>
      <w:r>
        <w:rPr>
          <w:rFonts w:ascii="宋体" w:cs="宋体" w:eastAsia="宋体" w:hAnsi="宋体"/>
          <w:sz w:val="28"/>
          <w:szCs w:val="28"/>
          <w:b w:val="1"/>
          <w:bCs w:val="1"/>
          <w:color w:val="auto"/>
        </w:rPr>
        <w:t>中国不要求美国低风险食品提供证书，包括美国视为深加工</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且货架期稳定的所有美国食品。</w:t>
      </w:r>
    </w:p>
    <w:p>
      <w:pPr>
        <w:spacing w:after="0" w:line="387" w:lineRule="exact"/>
        <w:rPr>
          <w:sz w:val="20"/>
          <w:szCs w:val="20"/>
          <w:color w:val="auto"/>
        </w:rPr>
      </w:pPr>
    </w:p>
    <w:p>
      <w:pPr>
        <w:ind w:left="480" w:right="720" w:firstLine="562"/>
        <w:spacing w:after="0" w:line="412" w:lineRule="exact"/>
        <w:rPr>
          <w:sz w:val="20"/>
          <w:szCs w:val="20"/>
          <w:color w:val="auto"/>
        </w:rPr>
      </w:pPr>
      <w:r>
        <w:rPr>
          <w:rFonts w:ascii="宋体" w:cs="宋体" w:eastAsia="宋体" w:hAnsi="宋体"/>
          <w:sz w:val="28"/>
          <w:szCs w:val="28"/>
          <w:b w:val="1"/>
          <w:bCs w:val="1"/>
          <w:color w:val="auto"/>
        </w:rPr>
        <w:t>另，中国应加入国际食品法典委员会食品进出口检验与认证分委会下设的食品假冒和食品真实性电子工作组。</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我谨提议，本函和贵国政府确认同意该一致意见的回函应构成</w:t>
      </w:r>
    </w:p>
    <w:p>
      <w:pPr>
        <w:spacing w:after="0" w:line="259" w:lineRule="exact"/>
        <w:rPr>
          <w:sz w:val="20"/>
          <w:szCs w:val="20"/>
          <w:color w:val="auto"/>
        </w:rPr>
      </w:pPr>
    </w:p>
    <w:p>
      <w:pPr>
        <w:ind w:left="480" w:right="480"/>
        <w:spacing w:after="0" w:line="458" w:lineRule="exact"/>
        <w:rPr>
          <w:sz w:val="20"/>
          <w:szCs w:val="20"/>
          <w:color w:val="auto"/>
        </w:rPr>
      </w:pPr>
      <w:r>
        <w:rPr>
          <w:rFonts w:ascii="宋体" w:cs="宋体" w:eastAsia="宋体" w:hAnsi="宋体"/>
          <w:sz w:val="28"/>
          <w:szCs w:val="28"/>
          <w:b w:val="1"/>
          <w:bCs w:val="1"/>
          <w:color w:val="auto"/>
        </w:rPr>
        <w:t>两国政府间协议，且受</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日签署的《中华人民共和国政府和美利坚合众国政府经济贸易协议》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双边评估与争端解决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一章条款约束，并于该协议生效之日同时生效。</w:t>
      </w:r>
      <w:r>
        <w:rPr>
          <w:rFonts w:ascii="Arial" w:cs="Arial" w:eastAsia="Arial" w:hAnsi="Arial"/>
          <w:sz w:val="28"/>
          <w:szCs w:val="28"/>
          <w:b w:val="1"/>
          <w:bCs w:val="1"/>
          <w:color w:val="auto"/>
        </w:rPr>
        <w:t>”</w:t>
      </w:r>
    </w:p>
    <w:p>
      <w:pPr>
        <w:spacing w:after="0" w:line="348"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我谨确认我国政府同意该一致意见，您的来函与本回函应构成</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两国政府间协议，应受</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日签署的《美利坚合众国政府</w:t>
      </w:r>
    </w:p>
    <w:p>
      <w:pPr>
        <w:spacing w:after="0" w:line="184"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和中华人民共和国政府经济贸易协议》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双边评估与争端解决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3-33</w:t>
      </w:r>
    </w:p>
    <w:p>
      <w:pPr>
        <w:sectPr>
          <w:pgSz w:w="12240" w:h="15840" w:orient="portrait"/>
          <w:cols w:equalWidth="0" w:num="1">
            <w:col w:w="9360"/>
          </w:cols>
          <w:pgMar w:left="1440" w:top="1440" w:right="1440" w:bottom="439" w:gutter="0" w:footer="0" w:header="0"/>
        </w:sectPr>
      </w:pPr>
    </w:p>
    <w:bookmarkStart w:id="55" w:name="page56"/>
    <w:bookmarkEnd w:id="55"/>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章条款约束，并应于该协议生效之日同时生效。</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您诚挚的，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right"/>
        <w:ind w:right="460"/>
        <w:spacing w:after="0" w:line="320" w:lineRule="exact"/>
        <w:rPr>
          <w:sz w:val="20"/>
          <w:szCs w:val="20"/>
          <w:color w:val="auto"/>
        </w:rPr>
      </w:pPr>
      <w:r>
        <w:rPr>
          <w:rFonts w:ascii="宋体" w:cs="宋体" w:eastAsia="宋体" w:hAnsi="宋体"/>
          <w:sz w:val="28"/>
          <w:szCs w:val="28"/>
          <w:b w:val="1"/>
          <w:bCs w:val="1"/>
          <w:color w:val="auto"/>
        </w:rPr>
        <w:t>美国贸易代表办公室</w:t>
      </w:r>
    </w:p>
    <w:p>
      <w:pPr>
        <w:spacing w:after="0" w:line="343" w:lineRule="exact"/>
        <w:rPr>
          <w:sz w:val="20"/>
          <w:szCs w:val="20"/>
          <w:color w:val="auto"/>
        </w:rPr>
      </w:pPr>
    </w:p>
    <w:p>
      <w:pPr>
        <w:ind w:left="6500"/>
        <w:spacing w:after="0" w:line="320" w:lineRule="exact"/>
        <w:rPr>
          <w:sz w:val="20"/>
          <w:szCs w:val="20"/>
          <w:color w:val="auto"/>
        </w:rPr>
      </w:pPr>
      <w:r>
        <w:rPr>
          <w:rFonts w:ascii="宋体" w:cs="宋体" w:eastAsia="宋体" w:hAnsi="宋体"/>
          <w:sz w:val="28"/>
          <w:szCs w:val="28"/>
          <w:b w:val="1"/>
          <w:bCs w:val="1"/>
          <w:color w:val="auto"/>
        </w:rPr>
        <w:t>首席农业谈判代表</w:t>
      </w:r>
    </w:p>
    <w:p>
      <w:pPr>
        <w:spacing w:after="0" w:line="346" w:lineRule="exact"/>
        <w:rPr>
          <w:sz w:val="20"/>
          <w:szCs w:val="20"/>
          <w:color w:val="auto"/>
        </w:rPr>
      </w:pPr>
    </w:p>
    <w:p>
      <w:pPr>
        <w:ind w:left="6960"/>
        <w:spacing w:after="0" w:line="341" w:lineRule="exact"/>
        <w:rPr>
          <w:sz w:val="20"/>
          <w:szCs w:val="20"/>
          <w:color w:val="auto"/>
        </w:rPr>
      </w:pPr>
      <w:r>
        <w:rPr>
          <w:rFonts w:ascii="宋体" w:cs="宋体" w:eastAsia="宋体" w:hAnsi="宋体"/>
          <w:sz w:val="28"/>
          <w:szCs w:val="28"/>
          <w:b w:val="1"/>
          <w:bCs w:val="1"/>
          <w:color w:val="auto"/>
        </w:rPr>
        <w:t>格雷格</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多德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3-34</w:t>
      </w:r>
    </w:p>
    <w:p>
      <w:pPr>
        <w:sectPr>
          <w:pgSz w:w="12240" w:h="15840" w:orient="portrait"/>
          <w:cols w:equalWidth="0" w:num="1">
            <w:col w:w="9360"/>
          </w:cols>
          <w:pgMar w:left="1440" w:top="1440" w:right="1440" w:bottom="439" w:gutter="0" w:footer="0" w:header="0"/>
        </w:sectPr>
      </w:pPr>
    </w:p>
    <w:bookmarkStart w:id="56" w:name="page57"/>
    <w:bookmarkEnd w:id="56"/>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672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致：华盛顿哥伦比亚特区西北区</w:t>
      </w:r>
      <w:r>
        <w:rPr>
          <w:rFonts w:ascii="Times New Roman" w:cs="Times New Roman" w:eastAsia="Times New Roman" w:hAnsi="Times New Roman"/>
          <w:sz w:val="28"/>
          <w:szCs w:val="28"/>
          <w:b w:val="1"/>
          <w:bCs w:val="1"/>
          <w:color w:val="auto"/>
        </w:rPr>
        <w:t xml:space="preserve"> 17 </w:t>
      </w:r>
      <w:r>
        <w:rPr>
          <w:rFonts w:ascii="宋体" w:cs="宋体" w:eastAsia="宋体" w:hAnsi="宋体"/>
          <w:sz w:val="28"/>
          <w:szCs w:val="28"/>
          <w:b w:val="1"/>
          <w:bCs w:val="1"/>
          <w:color w:val="auto"/>
        </w:rPr>
        <w:t>路</w:t>
      </w:r>
      <w:r>
        <w:rPr>
          <w:rFonts w:ascii="Times New Roman" w:cs="Times New Roman" w:eastAsia="Times New Roman" w:hAnsi="Times New Roman"/>
          <w:sz w:val="28"/>
          <w:szCs w:val="28"/>
          <w:b w:val="1"/>
          <w:bCs w:val="1"/>
          <w:color w:val="auto"/>
        </w:rPr>
        <w:t xml:space="preserve"> 600 </w:t>
      </w:r>
      <w:r>
        <w:rPr>
          <w:rFonts w:ascii="宋体" w:cs="宋体" w:eastAsia="宋体" w:hAnsi="宋体"/>
          <w:sz w:val="28"/>
          <w:szCs w:val="28"/>
          <w:b w:val="1"/>
          <w:bCs w:val="1"/>
          <w:color w:val="auto"/>
        </w:rPr>
        <w:t>号</w:t>
      </w:r>
      <w:r>
        <w:rPr>
          <w:rFonts w:ascii="Times New Roman" w:cs="Times New Roman" w:eastAsia="Times New Roman" w:hAnsi="Times New Roman"/>
          <w:sz w:val="28"/>
          <w:szCs w:val="28"/>
          <w:b w:val="1"/>
          <w:bCs w:val="1"/>
          <w:color w:val="auto"/>
        </w:rPr>
        <w:t xml:space="preserve"> 20250</w:t>
      </w:r>
    </w:p>
    <w:p>
      <w:pPr>
        <w:spacing w:after="0" w:line="32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美国贸易代表办公室</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首席农业谈判代表</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格雷格</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多德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尊敬的多德大使：</w:t>
      </w:r>
    </w:p>
    <w:p>
      <w:pPr>
        <w:spacing w:after="0" w:line="388" w:lineRule="exact"/>
        <w:rPr>
          <w:sz w:val="20"/>
          <w:szCs w:val="20"/>
          <w:color w:val="auto"/>
        </w:rPr>
      </w:pPr>
    </w:p>
    <w:p>
      <w:pPr>
        <w:ind w:left="480" w:right="1000" w:firstLine="562"/>
        <w:spacing w:after="0" w:line="412" w:lineRule="exact"/>
        <w:rPr>
          <w:sz w:val="20"/>
          <w:szCs w:val="20"/>
          <w:color w:val="auto"/>
        </w:rPr>
      </w:pPr>
      <w:r>
        <w:rPr>
          <w:rFonts w:ascii="宋体" w:cs="宋体" w:eastAsia="宋体" w:hAnsi="宋体"/>
          <w:sz w:val="28"/>
          <w:szCs w:val="28"/>
          <w:b w:val="1"/>
          <w:bCs w:val="1"/>
          <w:color w:val="auto"/>
        </w:rPr>
        <w:t>我谨确认中华人民共和国（中国）政府代表与美利坚合众国（美国）政府代表达成如下一致意见：</w:t>
      </w:r>
    </w:p>
    <w:p>
      <w:pPr>
        <w:spacing w:after="0" w:line="346" w:lineRule="exact"/>
        <w:rPr>
          <w:sz w:val="20"/>
          <w:szCs w:val="20"/>
          <w:color w:val="auto"/>
        </w:rPr>
      </w:pPr>
    </w:p>
    <w:p>
      <w:pPr>
        <w:jc w:val="center"/>
        <w:ind w:right="-159"/>
        <w:spacing w:after="0" w:line="341" w:lineRule="exact"/>
        <w:rPr>
          <w:sz w:val="20"/>
          <w:szCs w:val="20"/>
          <w:color w:val="auto"/>
        </w:rPr>
      </w:pPr>
      <w:r>
        <w:rPr>
          <w:rFonts w:ascii="宋体" w:cs="宋体" w:eastAsia="宋体" w:hAnsi="宋体"/>
          <w:sz w:val="28"/>
          <w:szCs w:val="28"/>
          <w:b w:val="1"/>
          <w:bCs w:val="1"/>
          <w:color w:val="auto"/>
        </w:rPr>
        <w:t>基于中国以往对美国水产品监管体系的评估，</w:t>
      </w:r>
      <w:r>
        <w:rPr>
          <w:rFonts w:ascii="Times New Roman" w:cs="Times New Roman" w:eastAsia="Times New Roman" w:hAnsi="Times New Roman"/>
          <w:sz w:val="28"/>
          <w:szCs w:val="28"/>
          <w:b w:val="1"/>
          <w:bCs w:val="1"/>
          <w:color w:val="auto"/>
        </w:rPr>
        <w:t xml:space="preserve">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w:t>
      </w:r>
    </w:p>
    <w:p>
      <w:pPr>
        <w:spacing w:after="0" w:line="20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日签署的《中华人民共和国政府和美利坚合众国政府经济贸易协议》</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w:t>
      </w:r>
      <w:r>
        <w:rPr>
          <w:rFonts w:ascii="Arial" w:cs="Arial" w:eastAsia="Arial" w:hAnsi="Arial"/>
          <w:sz w:val="28"/>
          <w:szCs w:val="28"/>
          <w:b w:val="1"/>
          <w:bCs w:val="1"/>
          <w:color w:val="auto"/>
        </w:rPr>
        <w:t>“</w:t>
      </w:r>
      <w:r>
        <w:rPr>
          <w:rFonts w:ascii="宋体" w:cs="宋体" w:eastAsia="宋体" w:hAnsi="宋体"/>
          <w:sz w:val="28"/>
          <w:szCs w:val="28"/>
          <w:b w:val="1"/>
          <w:bCs w:val="1"/>
          <w:color w:val="auto"/>
        </w:rPr>
        <w:t>经贸协议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）一经生效，中国应批准自美国进口本函附件</w:t>
      </w:r>
      <w:r>
        <w:rPr>
          <w:rFonts w:ascii="Arial" w:cs="Arial" w:eastAsia="Arial" w:hAnsi="Arial"/>
          <w:sz w:val="28"/>
          <w:szCs w:val="28"/>
          <w:b w:val="1"/>
          <w:bCs w:val="1"/>
          <w:color w:val="auto"/>
        </w:rPr>
        <w:t xml:space="preserve"> </w:t>
      </w:r>
      <w:r>
        <w:rPr>
          <w:rFonts w:ascii="Times New Roman" w:cs="Times New Roman" w:eastAsia="Times New Roman" w:hAnsi="Times New Roman"/>
          <w:sz w:val="28"/>
          <w:szCs w:val="28"/>
          <w:b w:val="1"/>
          <w:bCs w:val="1"/>
          <w:color w:val="auto"/>
        </w:rPr>
        <w:t>1</w:t>
      </w:r>
      <w:r>
        <w:rPr>
          <w:rFonts w:ascii="Arial" w:cs="Arial" w:eastAsia="Arial" w:hAnsi="Arial"/>
          <w:sz w:val="28"/>
          <w:szCs w:val="28"/>
          <w:b w:val="1"/>
          <w:bCs w:val="1"/>
          <w:color w:val="auto"/>
        </w:rPr>
        <w:t xml:space="preserve"> </w:t>
      </w:r>
      <w:r>
        <w:rPr>
          <w:rFonts w:ascii="宋体" w:cs="宋体" w:eastAsia="宋体" w:hAnsi="宋体"/>
          <w:sz w:val="28"/>
          <w:szCs w:val="28"/>
          <w:b w:val="1"/>
          <w:bCs w:val="1"/>
          <w:color w:val="auto"/>
        </w:rPr>
        <w:t>所</w:t>
      </w:r>
    </w:p>
    <w:p>
      <w:pPr>
        <w:spacing w:after="0" w:line="204"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列水产品种类。</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中国在经贸协议生效之日起</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个工作日内，应将本函附件</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所</w:t>
      </w:r>
    </w:p>
    <w:p>
      <w:pPr>
        <w:spacing w:after="0" w:line="236" w:lineRule="exact"/>
        <w:rPr>
          <w:sz w:val="20"/>
          <w:szCs w:val="20"/>
          <w:color w:val="auto"/>
        </w:rPr>
      </w:pPr>
    </w:p>
    <w:p>
      <w:pPr>
        <w:ind w:left="480" w:right="720" w:firstLine="8"/>
        <w:spacing w:after="0" w:line="459" w:lineRule="exact"/>
        <w:tabs>
          <w:tab w:leader="none" w:pos="833" w:val="left"/>
        </w:tabs>
        <w:numPr>
          <w:ilvl w:val="0"/>
          <w:numId w:val="11"/>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23 </w:t>
      </w:r>
      <w:r>
        <w:rPr>
          <w:rFonts w:ascii="宋体" w:cs="宋体" w:eastAsia="宋体" w:hAnsi="宋体"/>
          <w:sz w:val="28"/>
          <w:szCs w:val="28"/>
          <w:b w:val="1"/>
          <w:bCs w:val="1"/>
          <w:color w:val="auto"/>
        </w:rPr>
        <w:t>种美国饲料添加剂、预混料和配合饲料产品纳入中国传统贸易产品清单，允许自美进口上述饲料添加剂、预混料和配合饲料产品至中国。</w:t>
      </w:r>
    </w:p>
    <w:p>
      <w:pPr>
        <w:spacing w:after="0" w:line="346" w:lineRule="exact"/>
        <w:rPr>
          <w:rFonts w:ascii="宋体" w:cs="宋体" w:eastAsia="宋体" w:hAnsi="宋体"/>
          <w:sz w:val="28"/>
          <w:szCs w:val="28"/>
          <w:b w:val="1"/>
          <w:bCs w:val="1"/>
          <w:color w:val="auto"/>
        </w:rPr>
      </w:pPr>
    </w:p>
    <w:p>
      <w:pPr>
        <w:ind w:left="1040"/>
        <w:spacing w:after="0" w:line="320"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我谨提议，本函和您确认贵国政府同意该一致意见的回函，应</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3-35</w:t>
      </w:r>
    </w:p>
    <w:p>
      <w:pPr>
        <w:sectPr>
          <w:pgSz w:w="12240" w:h="15840" w:orient="portrait"/>
          <w:cols w:equalWidth="0" w:num="1">
            <w:col w:w="9360"/>
          </w:cols>
          <w:pgMar w:left="1440" w:top="1440" w:right="1440" w:bottom="439" w:gutter="0" w:footer="0" w:header="0"/>
        </w:sectPr>
      </w:pPr>
    </w:p>
    <w:bookmarkStart w:id="57" w:name="page58"/>
    <w:bookmarkEnd w:id="57"/>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构成两国政府间协议，且受</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日经贸协议的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w:t>
      </w:r>
    </w:p>
    <w:p>
      <w:pPr>
        <w:spacing w:after="0" w:line="183"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估与争端解决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一章条款约束，并于该协议生效之日同时生效。</w:t>
      </w:r>
    </w:p>
    <w:p>
      <w:pPr>
        <w:spacing w:after="0" w:line="3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您诚挚的，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jc w:val="center"/>
        <w:ind w:left="5920"/>
        <w:spacing w:after="0" w:line="320" w:lineRule="exact"/>
        <w:rPr>
          <w:sz w:val="20"/>
          <w:szCs w:val="20"/>
          <w:color w:val="auto"/>
        </w:rPr>
      </w:pPr>
      <w:r>
        <w:rPr>
          <w:rFonts w:ascii="宋体" w:cs="宋体" w:eastAsia="宋体" w:hAnsi="宋体"/>
          <w:sz w:val="28"/>
          <w:szCs w:val="28"/>
          <w:b w:val="1"/>
          <w:bCs w:val="1"/>
          <w:color w:val="auto"/>
        </w:rPr>
        <w:t>中华人民共和国</w:t>
      </w:r>
    </w:p>
    <w:p>
      <w:pPr>
        <w:spacing w:after="0" w:line="357" w:lineRule="exact"/>
        <w:rPr>
          <w:sz w:val="20"/>
          <w:szCs w:val="20"/>
          <w:color w:val="auto"/>
        </w:rPr>
      </w:pPr>
    </w:p>
    <w:p>
      <w:pPr>
        <w:jc w:val="center"/>
        <w:ind w:left="5880"/>
        <w:spacing w:after="0" w:line="308" w:lineRule="exact"/>
        <w:rPr>
          <w:sz w:val="20"/>
          <w:szCs w:val="20"/>
          <w:color w:val="auto"/>
        </w:rPr>
      </w:pPr>
      <w:r>
        <w:rPr>
          <w:rFonts w:ascii="宋体" w:cs="宋体" w:eastAsia="宋体" w:hAnsi="宋体"/>
          <w:sz w:val="27"/>
          <w:szCs w:val="27"/>
          <w:b w:val="1"/>
          <w:bCs w:val="1"/>
          <w:color w:val="auto"/>
        </w:rPr>
        <w:t>农业农村部副部长</w:t>
      </w:r>
    </w:p>
    <w:p>
      <w:pPr>
        <w:spacing w:after="0" w:line="345" w:lineRule="exact"/>
        <w:rPr>
          <w:sz w:val="20"/>
          <w:szCs w:val="20"/>
          <w:color w:val="auto"/>
        </w:rPr>
      </w:pPr>
    </w:p>
    <w:p>
      <w:pPr>
        <w:jc w:val="center"/>
        <w:ind w:left="5760"/>
        <w:spacing w:after="0" w:line="320" w:lineRule="exact"/>
        <w:rPr>
          <w:sz w:val="20"/>
          <w:szCs w:val="20"/>
          <w:color w:val="auto"/>
        </w:rPr>
      </w:pPr>
      <w:r>
        <w:rPr>
          <w:rFonts w:ascii="宋体" w:cs="宋体" w:eastAsia="宋体" w:hAnsi="宋体"/>
          <w:sz w:val="28"/>
          <w:szCs w:val="28"/>
          <w:b w:val="1"/>
          <w:bCs w:val="1"/>
          <w:color w:val="auto"/>
        </w:rPr>
        <w:t>韩俊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3-36</w:t>
      </w:r>
    </w:p>
    <w:p>
      <w:pPr>
        <w:sectPr>
          <w:pgSz w:w="12240" w:h="15840" w:orient="portrait"/>
          <w:cols w:equalWidth="0" w:num="1">
            <w:col w:w="9360"/>
          </w:cols>
          <w:pgMar w:left="1440" w:top="1440" w:right="1440" w:bottom="439" w:gutter="0" w:footer="0" w:header="0"/>
        </w:sectPr>
      </w:pPr>
    </w:p>
    <w:bookmarkStart w:id="58" w:name="page59"/>
    <w:bookmarkEnd w:id="58"/>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right"/>
        <w:ind w:right="460"/>
        <w:spacing w:after="0" w:line="341" w:lineRule="exact"/>
        <w:rPr>
          <w:sz w:val="20"/>
          <w:szCs w:val="20"/>
          <w:color w:val="auto"/>
        </w:rPr>
      </w:pPr>
      <w:r>
        <w:rPr>
          <w:rFonts w:ascii="Times New Roman" w:cs="Times New Roman" w:eastAsia="Times New Roman" w:hAnsi="Times New Roman"/>
          <w:sz w:val="28"/>
          <w:szCs w:val="28"/>
          <w:b w:val="1"/>
          <w:bCs w:val="1"/>
          <w:color w:val="auto"/>
        </w:rPr>
        <w:t xml:space="preserve">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1040" w:right="2420" w:hanging="558"/>
        <w:spacing w:after="0" w:line="476" w:lineRule="exact"/>
        <w:rPr>
          <w:sz w:val="20"/>
          <w:szCs w:val="20"/>
          <w:color w:val="auto"/>
        </w:rPr>
      </w:pPr>
      <w:r>
        <w:rPr>
          <w:rFonts w:ascii="宋体" w:cs="宋体" w:eastAsia="宋体" w:hAnsi="宋体"/>
          <w:sz w:val="28"/>
          <w:szCs w:val="28"/>
          <w:b w:val="1"/>
          <w:bCs w:val="1"/>
          <w:color w:val="auto"/>
        </w:rPr>
        <w:t>致：中华人民共和国北京市农展馆南里</w:t>
      </w:r>
      <w:r>
        <w:rPr>
          <w:rFonts w:ascii="Times New Roman" w:cs="Times New Roman" w:eastAsia="Times New Roman" w:hAnsi="Times New Roman"/>
          <w:sz w:val="28"/>
          <w:szCs w:val="28"/>
          <w:b w:val="1"/>
          <w:bCs w:val="1"/>
          <w:color w:val="auto"/>
        </w:rPr>
        <w:t xml:space="preserve"> 11 </w:t>
      </w:r>
      <w:r>
        <w:rPr>
          <w:rFonts w:ascii="宋体" w:cs="宋体" w:eastAsia="宋体" w:hAnsi="宋体"/>
          <w:sz w:val="28"/>
          <w:szCs w:val="28"/>
          <w:b w:val="1"/>
          <w:bCs w:val="1"/>
          <w:color w:val="auto"/>
        </w:rPr>
        <w:t>号</w:t>
      </w:r>
      <w:r>
        <w:rPr>
          <w:rFonts w:ascii="Times New Roman" w:cs="Times New Roman" w:eastAsia="Times New Roman" w:hAnsi="Times New Roman"/>
          <w:sz w:val="28"/>
          <w:szCs w:val="28"/>
          <w:b w:val="1"/>
          <w:bCs w:val="1"/>
          <w:color w:val="auto"/>
        </w:rPr>
        <w:t xml:space="preserve"> 100125 </w:t>
      </w:r>
      <w:r>
        <w:rPr>
          <w:rFonts w:ascii="宋体" w:cs="宋体" w:eastAsia="宋体" w:hAnsi="宋体"/>
          <w:sz w:val="28"/>
          <w:szCs w:val="28"/>
          <w:b w:val="1"/>
          <w:bCs w:val="1"/>
          <w:color w:val="auto"/>
        </w:rPr>
        <w:t>中华人民共和国农业农村部副部长</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韩俊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尊敬的韩俊副部长：</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很高兴收到您</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日来函，内容如下：</w:t>
      </w:r>
    </w:p>
    <w:p>
      <w:pPr>
        <w:spacing w:after="0" w:line="325" w:lineRule="exact"/>
        <w:rPr>
          <w:sz w:val="20"/>
          <w:szCs w:val="20"/>
          <w:color w:val="auto"/>
        </w:rPr>
      </w:pPr>
    </w:p>
    <w:p>
      <w:pPr>
        <w:jc w:val="center"/>
        <w:ind w:right="-99"/>
        <w:spacing w:after="0" w:line="341" w:lineRule="exact"/>
        <w:rPr>
          <w:sz w:val="20"/>
          <w:szCs w:val="20"/>
          <w:color w:val="auto"/>
        </w:rPr>
      </w:pPr>
      <w:r>
        <w:rPr>
          <w:rFonts w:ascii="Arial" w:cs="Arial" w:eastAsia="Arial" w:hAnsi="Arial"/>
          <w:sz w:val="28"/>
          <w:szCs w:val="28"/>
          <w:b w:val="1"/>
          <w:bCs w:val="1"/>
          <w:color w:val="auto"/>
        </w:rPr>
        <w:t>“</w:t>
      </w:r>
      <w:r>
        <w:rPr>
          <w:rFonts w:ascii="宋体" w:cs="宋体" w:eastAsia="宋体" w:hAnsi="宋体"/>
          <w:sz w:val="28"/>
          <w:szCs w:val="28"/>
          <w:b w:val="1"/>
          <w:bCs w:val="1"/>
          <w:color w:val="auto"/>
        </w:rPr>
        <w:t>基于中国以往对美国水产品监管体系的评估，</w:t>
      </w:r>
      <w:r>
        <w:rPr>
          <w:rFonts w:ascii="Times New Roman" w:cs="Times New Roman" w:eastAsia="Times New Roman" w:hAnsi="Times New Roman"/>
          <w:sz w:val="28"/>
          <w:szCs w:val="28"/>
          <w:b w:val="1"/>
          <w:bCs w:val="1"/>
          <w:color w:val="auto"/>
        </w:rPr>
        <w:t>2020</w:t>
      </w:r>
      <w:r>
        <w:rPr>
          <w:rFonts w:ascii="Arial" w:cs="Arial" w:eastAsia="Arial" w:hAnsi="Arial"/>
          <w:sz w:val="28"/>
          <w:szCs w:val="28"/>
          <w:b w:val="1"/>
          <w:bCs w:val="1"/>
          <w:color w:val="auto"/>
        </w:rPr>
        <w:t xml:space="preserve"> </w:t>
      </w:r>
      <w:r>
        <w:rPr>
          <w:rFonts w:ascii="宋体" w:cs="宋体" w:eastAsia="宋体" w:hAnsi="宋体"/>
          <w:sz w:val="28"/>
          <w:szCs w:val="28"/>
          <w:b w:val="1"/>
          <w:bCs w:val="1"/>
          <w:color w:val="auto"/>
        </w:rPr>
        <w:t>年</w:t>
      </w:r>
      <w:r>
        <w:rPr>
          <w:rFonts w:ascii="Arial" w:cs="Arial" w:eastAsia="Arial" w:hAnsi="Arial"/>
          <w:sz w:val="28"/>
          <w:szCs w:val="28"/>
          <w:b w:val="1"/>
          <w:bCs w:val="1"/>
          <w:color w:val="auto"/>
        </w:rPr>
        <w:t xml:space="preserve"> </w:t>
      </w:r>
      <w:r>
        <w:rPr>
          <w:rFonts w:ascii="Times New Roman" w:cs="Times New Roman" w:eastAsia="Times New Roman" w:hAnsi="Times New Roman"/>
          <w:sz w:val="28"/>
          <w:szCs w:val="28"/>
          <w:b w:val="1"/>
          <w:bCs w:val="1"/>
          <w:color w:val="auto"/>
        </w:rPr>
        <w:t>1</w:t>
      </w:r>
      <w:r>
        <w:rPr>
          <w:rFonts w:ascii="Arial" w:cs="Arial" w:eastAsia="Arial" w:hAnsi="Arial"/>
          <w:sz w:val="28"/>
          <w:szCs w:val="28"/>
          <w:b w:val="1"/>
          <w:bCs w:val="1"/>
          <w:color w:val="auto"/>
        </w:rPr>
        <w:t xml:space="preserve"> </w:t>
      </w:r>
      <w:r>
        <w:rPr>
          <w:rFonts w:ascii="宋体" w:cs="宋体" w:eastAsia="宋体" w:hAnsi="宋体"/>
          <w:sz w:val="28"/>
          <w:szCs w:val="28"/>
          <w:b w:val="1"/>
          <w:bCs w:val="1"/>
          <w:color w:val="auto"/>
        </w:rPr>
        <w:t>月</w:t>
      </w:r>
    </w:p>
    <w:p>
      <w:pPr>
        <w:spacing w:after="0" w:line="245" w:lineRule="exact"/>
        <w:rPr>
          <w:sz w:val="20"/>
          <w:szCs w:val="20"/>
          <w:color w:val="auto"/>
        </w:rPr>
      </w:pPr>
    </w:p>
    <w:p>
      <w:pPr>
        <w:jc w:val="both"/>
        <w:ind w:left="480" w:right="660" w:firstLine="8"/>
        <w:spacing w:after="0" w:line="411" w:lineRule="exact"/>
        <w:tabs>
          <w:tab w:leader="none" w:pos="821" w:val="left"/>
        </w:tabs>
        <w:numPr>
          <w:ilvl w:val="0"/>
          <w:numId w:val="12"/>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日签署的《中华人民共和国政府和美利坚合众国政府经济贸易协议》（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经贸协议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）一经生效，中国应批准自美国进口本函附件</w:t>
      </w:r>
    </w:p>
    <w:p>
      <w:pPr>
        <w:spacing w:after="0" w:line="205" w:lineRule="exact"/>
        <w:rPr>
          <w:sz w:val="20"/>
          <w:szCs w:val="20"/>
          <w:color w:val="auto"/>
        </w:rPr>
      </w:pPr>
    </w:p>
    <w:p>
      <w:pPr>
        <w:ind w:left="680" w:hanging="192"/>
        <w:spacing w:after="0" w:line="341" w:lineRule="exact"/>
        <w:tabs>
          <w:tab w:leader="none" w:pos="680" w:val="left"/>
        </w:tabs>
        <w:numPr>
          <w:ilvl w:val="0"/>
          <w:numId w:val="13"/>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所列水产品种类。</w:t>
      </w:r>
    </w:p>
    <w:p>
      <w:pPr>
        <w:spacing w:after="0" w:line="34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中国在经贸协议生效之日起</w:t>
      </w:r>
      <w:r>
        <w:rPr>
          <w:rFonts w:ascii="Times New Roman" w:cs="Times New Roman" w:eastAsia="Times New Roman" w:hAnsi="Times New Roman"/>
          <w:sz w:val="28"/>
          <w:szCs w:val="28"/>
          <w:b w:val="1"/>
          <w:bCs w:val="1"/>
          <w:color w:val="auto"/>
        </w:rPr>
        <w:t xml:space="preserve"> 5 </w:t>
      </w:r>
      <w:r>
        <w:rPr>
          <w:rFonts w:ascii="宋体" w:cs="宋体" w:eastAsia="宋体" w:hAnsi="宋体"/>
          <w:sz w:val="28"/>
          <w:szCs w:val="28"/>
          <w:b w:val="1"/>
          <w:bCs w:val="1"/>
          <w:color w:val="auto"/>
        </w:rPr>
        <w:t>个工作日内，应将本函附件</w:t>
      </w:r>
      <w:r>
        <w:rPr>
          <w:rFonts w:ascii="Times New Roman" w:cs="Times New Roman" w:eastAsia="Times New Roman" w:hAnsi="Times New Roman"/>
          <w:sz w:val="28"/>
          <w:szCs w:val="28"/>
          <w:b w:val="1"/>
          <w:bCs w:val="1"/>
          <w:color w:val="auto"/>
        </w:rPr>
        <w:t xml:space="preserve"> 2 </w:t>
      </w:r>
      <w:r>
        <w:rPr>
          <w:rFonts w:ascii="宋体" w:cs="宋体" w:eastAsia="宋体" w:hAnsi="宋体"/>
          <w:sz w:val="28"/>
          <w:szCs w:val="28"/>
          <w:b w:val="1"/>
          <w:bCs w:val="1"/>
          <w:color w:val="auto"/>
        </w:rPr>
        <w:t>所</w:t>
      </w:r>
    </w:p>
    <w:p>
      <w:pPr>
        <w:spacing w:after="0" w:line="237" w:lineRule="exact"/>
        <w:rPr>
          <w:sz w:val="20"/>
          <w:szCs w:val="20"/>
          <w:color w:val="auto"/>
        </w:rPr>
      </w:pPr>
    </w:p>
    <w:p>
      <w:pPr>
        <w:ind w:left="480" w:right="720" w:firstLine="8"/>
        <w:spacing w:after="0" w:line="459" w:lineRule="exact"/>
        <w:tabs>
          <w:tab w:leader="none" w:pos="833" w:val="left"/>
        </w:tabs>
        <w:numPr>
          <w:ilvl w:val="0"/>
          <w:numId w:val="14"/>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23 </w:t>
      </w:r>
      <w:r>
        <w:rPr>
          <w:rFonts w:ascii="宋体" w:cs="宋体" w:eastAsia="宋体" w:hAnsi="宋体"/>
          <w:sz w:val="28"/>
          <w:szCs w:val="28"/>
          <w:b w:val="1"/>
          <w:bCs w:val="1"/>
          <w:color w:val="auto"/>
        </w:rPr>
        <w:t>种美国饲料添加剂、预混料和配合饲料产品纳入中国传统贸易产品清单，允许自美进口上述饲料添加剂、预混料和配合饲料产品至中国。</w:t>
      </w:r>
    </w:p>
    <w:p>
      <w:pPr>
        <w:spacing w:after="0" w:line="3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我谨提议，本函和您确认贵国政府同意该一致意见的回函，应</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构成两国政府间协议，且受</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日经贸协议的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w:t>
      </w:r>
    </w:p>
    <w:p>
      <w:pPr>
        <w:spacing w:after="0" w:line="183"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估与争端解决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一章条款约束，并于该协议生效之日同时生效。</w:t>
      </w:r>
      <w:r>
        <w:rPr>
          <w:rFonts w:ascii="Arial" w:cs="Arial" w:eastAsia="Arial" w:hAnsi="Arial"/>
          <w:sz w:val="28"/>
          <w:szCs w:val="28"/>
          <w:b w:val="1"/>
          <w:bCs w:val="1"/>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3-37</w:t>
      </w:r>
    </w:p>
    <w:p>
      <w:pPr>
        <w:sectPr>
          <w:pgSz w:w="12240" w:h="15840" w:orient="portrait"/>
          <w:cols w:equalWidth="0" w:num="1">
            <w:col w:w="9360"/>
          </w:cols>
          <w:pgMar w:left="1440" w:top="1440" w:right="1440" w:bottom="439" w:gutter="0" w:footer="0" w:header="0"/>
        </w:sectPr>
      </w:pPr>
    </w:p>
    <w:bookmarkStart w:id="59" w:name="page60"/>
    <w:bookmarkEnd w:id="59"/>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我谨确认我国政府同意该一致意见，您的来函与本回函应构成</w:t>
      </w:r>
    </w:p>
    <w:p>
      <w:pPr>
        <w:spacing w:after="0" w:line="258" w:lineRule="exact"/>
        <w:rPr>
          <w:sz w:val="20"/>
          <w:szCs w:val="20"/>
          <w:color w:val="auto"/>
        </w:rPr>
      </w:pPr>
    </w:p>
    <w:p>
      <w:pPr>
        <w:jc w:val="both"/>
        <w:ind w:left="480" w:right="720"/>
        <w:spacing w:after="0" w:line="459" w:lineRule="exact"/>
        <w:rPr>
          <w:sz w:val="20"/>
          <w:szCs w:val="20"/>
          <w:color w:val="auto"/>
        </w:rPr>
      </w:pPr>
      <w:r>
        <w:rPr>
          <w:rFonts w:ascii="宋体" w:cs="宋体" w:eastAsia="宋体" w:hAnsi="宋体"/>
          <w:sz w:val="28"/>
          <w:szCs w:val="28"/>
          <w:b w:val="1"/>
          <w:bCs w:val="1"/>
          <w:color w:val="auto"/>
        </w:rPr>
        <w:t>两国政府间协议，应受</w:t>
      </w:r>
      <w:r>
        <w:rPr>
          <w:rFonts w:ascii="Times New Roman" w:cs="Times New Roman" w:eastAsia="Times New Roman" w:hAnsi="Times New Roman"/>
          <w:sz w:val="28"/>
          <w:szCs w:val="28"/>
          <w:b w:val="1"/>
          <w:bCs w:val="1"/>
          <w:color w:val="auto"/>
        </w:rPr>
        <w:t xml:space="preserve"> 2020 </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 xml:space="preserve"> 15 </w:t>
      </w:r>
      <w:r>
        <w:rPr>
          <w:rFonts w:ascii="宋体" w:cs="宋体" w:eastAsia="宋体" w:hAnsi="宋体"/>
          <w:sz w:val="28"/>
          <w:szCs w:val="28"/>
          <w:b w:val="1"/>
          <w:bCs w:val="1"/>
          <w:color w:val="auto"/>
        </w:rPr>
        <w:t>日签署的《美利坚合众国政府和中华人民共和国政府经济贸易协议》</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双边评估与争端解决</w:t>
      </w:r>
      <w:r>
        <w:rPr>
          <w:rFonts w:ascii="Arial" w:cs="Arial" w:eastAsia="Arial" w:hAnsi="Arial"/>
          <w:sz w:val="28"/>
          <w:szCs w:val="28"/>
          <w:b w:val="1"/>
          <w:bCs w:val="1"/>
          <w:color w:val="auto"/>
        </w:rPr>
        <w:t>”</w:t>
      </w:r>
      <w:r>
        <w:rPr>
          <w:rFonts w:ascii="宋体" w:cs="宋体" w:eastAsia="宋体" w:hAnsi="宋体"/>
          <w:sz w:val="28"/>
          <w:szCs w:val="28"/>
          <w:b w:val="1"/>
          <w:bCs w:val="1"/>
          <w:color w:val="auto"/>
        </w:rPr>
        <w:t>一章条款约束，并应于该协议生效之日同时生效。</w:t>
      </w:r>
    </w:p>
    <w:p>
      <w:pPr>
        <w:spacing w:after="0" w:line="348"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您诚挚的，</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0" w:lineRule="exact"/>
        <w:rPr>
          <w:sz w:val="20"/>
          <w:szCs w:val="20"/>
          <w:color w:val="auto"/>
        </w:rPr>
      </w:pPr>
    </w:p>
    <w:p>
      <w:pPr>
        <w:jc w:val="right"/>
        <w:ind w:right="620"/>
        <w:spacing w:after="0" w:line="320" w:lineRule="exact"/>
        <w:rPr>
          <w:sz w:val="20"/>
          <w:szCs w:val="20"/>
          <w:color w:val="auto"/>
        </w:rPr>
      </w:pPr>
      <w:r>
        <w:rPr>
          <w:rFonts w:ascii="宋体" w:cs="宋体" w:eastAsia="宋体" w:hAnsi="宋体"/>
          <w:sz w:val="28"/>
          <w:szCs w:val="28"/>
          <w:b w:val="1"/>
          <w:bCs w:val="1"/>
          <w:color w:val="auto"/>
        </w:rPr>
        <w:t>美国贸易代表办公室</w:t>
      </w:r>
    </w:p>
    <w:p>
      <w:pPr>
        <w:spacing w:after="0" w:line="345" w:lineRule="exact"/>
        <w:rPr>
          <w:sz w:val="20"/>
          <w:szCs w:val="20"/>
          <w:color w:val="auto"/>
        </w:rPr>
      </w:pPr>
    </w:p>
    <w:p>
      <w:pPr>
        <w:ind w:left="6380"/>
        <w:spacing w:after="0" w:line="320" w:lineRule="exact"/>
        <w:rPr>
          <w:sz w:val="20"/>
          <w:szCs w:val="20"/>
          <w:color w:val="auto"/>
        </w:rPr>
      </w:pPr>
      <w:r>
        <w:rPr>
          <w:rFonts w:ascii="宋体" w:cs="宋体" w:eastAsia="宋体" w:hAnsi="宋体"/>
          <w:sz w:val="28"/>
          <w:szCs w:val="28"/>
          <w:b w:val="1"/>
          <w:bCs w:val="1"/>
          <w:color w:val="auto"/>
        </w:rPr>
        <w:t>首席农业谈判代表</w:t>
      </w:r>
    </w:p>
    <w:p>
      <w:pPr>
        <w:spacing w:after="0" w:line="347" w:lineRule="exact"/>
        <w:rPr>
          <w:sz w:val="20"/>
          <w:szCs w:val="20"/>
          <w:color w:val="auto"/>
        </w:rPr>
      </w:pPr>
    </w:p>
    <w:p>
      <w:pPr>
        <w:ind w:left="6820"/>
        <w:spacing w:after="0" w:line="341" w:lineRule="exact"/>
        <w:rPr>
          <w:sz w:val="20"/>
          <w:szCs w:val="20"/>
          <w:color w:val="auto"/>
        </w:rPr>
      </w:pPr>
      <w:r>
        <w:rPr>
          <w:rFonts w:ascii="宋体" w:cs="宋体" w:eastAsia="宋体" w:hAnsi="宋体"/>
          <w:sz w:val="28"/>
          <w:szCs w:val="28"/>
          <w:b w:val="1"/>
          <w:bCs w:val="1"/>
          <w:color w:val="auto"/>
        </w:rPr>
        <w:t>格雷格</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多德</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3-38</w:t>
      </w:r>
    </w:p>
    <w:p>
      <w:pPr>
        <w:sectPr>
          <w:pgSz w:w="12240" w:h="15840" w:orient="portrait"/>
          <w:cols w:equalWidth="0" w:num="1">
            <w:col w:w="9360"/>
          </w:cols>
          <w:pgMar w:left="1440" w:top="1440" w:right="1440" w:bottom="439" w:gutter="0" w:footer="0" w:header="0"/>
        </w:sectPr>
      </w:pPr>
    </w:p>
    <w:bookmarkStart w:id="60" w:name="page61"/>
    <w:bookmarkEnd w:id="60"/>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140"/>
        <w:spacing w:after="0" w:line="341" w:lineRule="exact"/>
        <w:rPr>
          <w:sz w:val="20"/>
          <w:szCs w:val="20"/>
          <w:color w:val="auto"/>
        </w:rPr>
      </w:pPr>
      <w:r>
        <w:rPr>
          <w:rFonts w:ascii="宋体" w:cs="宋体" w:eastAsia="宋体" w:hAnsi="宋体"/>
          <w:sz w:val="28"/>
          <w:szCs w:val="28"/>
          <w:b w:val="1"/>
          <w:bCs w:val="1"/>
          <w:color w:val="auto"/>
        </w:rPr>
        <w:t>附件</w:t>
      </w:r>
      <w:r>
        <w:rPr>
          <w:rFonts w:ascii="Times New Roman" w:cs="Times New Roman" w:eastAsia="Times New Roman" w:hAnsi="Times New Roman"/>
          <w:sz w:val="28"/>
          <w:szCs w:val="28"/>
          <w:b w:val="1"/>
          <w:bCs w:val="1"/>
          <w:color w:val="auto"/>
        </w:rPr>
        <w:t xml:space="preserve"> 1: </w:t>
      </w:r>
      <w:r>
        <w:rPr>
          <w:rFonts w:ascii="宋体" w:cs="宋体" w:eastAsia="宋体" w:hAnsi="宋体"/>
          <w:sz w:val="28"/>
          <w:szCs w:val="28"/>
          <w:b w:val="1"/>
          <w:bCs w:val="1"/>
          <w:color w:val="auto"/>
        </w:rPr>
        <w:t>美国水产品种类目录</w:t>
      </w:r>
    </w:p>
    <w:p>
      <w:pPr>
        <w:spacing w:after="0" w:line="306" w:lineRule="exact"/>
        <w:rPr>
          <w:sz w:val="20"/>
          <w:szCs w:val="20"/>
          <w:color w:val="auto"/>
        </w:rPr>
      </w:pPr>
    </w:p>
    <w:tbl>
      <w:tblPr>
        <w:tblLayout w:type="fixed"/>
        <w:tblInd w:w="10" w:type="dxa"/>
        <w:tblCellMar>
          <w:top w:w="0" w:type="dxa"/>
          <w:left w:w="0" w:type="dxa"/>
          <w:bottom w:w="0" w:type="dxa"/>
          <w:right w:w="0" w:type="dxa"/>
        </w:tblCellMar>
      </w:tblPr>
      <w:tr>
        <w:trPr>
          <w:trHeight w:val="448"/>
        </w:trPr>
        <w:tc>
          <w:tcPr>
            <w:tcW w:w="3460" w:type="dxa"/>
            <w:vAlign w:val="bottom"/>
            <w:tcBorders>
              <w:top w:val="single" w:sz="8" w:color="auto"/>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水产品品种名</w:t>
            </w:r>
          </w:p>
        </w:tc>
        <w:tc>
          <w:tcPr>
            <w:tcW w:w="4320" w:type="dxa"/>
            <w:vAlign w:val="bottom"/>
            <w:tcBorders>
              <w:top w:val="single" w:sz="8" w:color="auto"/>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学名</w:t>
            </w:r>
          </w:p>
        </w:tc>
        <w:tc>
          <w:tcPr>
            <w:tcW w:w="2700" w:type="dxa"/>
            <w:vAlign w:val="bottom"/>
            <w:tcBorders>
              <w:top w:val="single" w:sz="8" w:color="auto"/>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产品名称</w:t>
            </w:r>
          </w:p>
        </w:tc>
      </w:tr>
      <w:tr>
        <w:trPr>
          <w:trHeight w:val="164"/>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31"/>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南极磷虾</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Euphausia superba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南极磷虾油</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51"/>
        </w:trPr>
        <w:tc>
          <w:tcPr>
            <w:tcW w:w="3460" w:type="dxa"/>
            <w:vAlign w:val="bottom"/>
            <w:tcBorders>
              <w:left w:val="single" w:sz="8" w:color="auto"/>
              <w:right w:val="single" w:sz="8" w:color="auto"/>
            </w:tcBorders>
          </w:tcPr>
          <w:p>
            <w:pPr>
              <w:ind w:left="120"/>
              <w:spacing w:after="0" w:line="341" w:lineRule="exact"/>
              <w:rPr>
                <w:sz w:val="20"/>
                <w:szCs w:val="20"/>
                <w:color w:val="auto"/>
              </w:rPr>
            </w:pPr>
            <w:r>
              <w:rPr>
                <w:rFonts w:ascii="宋体" w:cs="宋体" w:eastAsia="宋体" w:hAnsi="宋体"/>
                <w:sz w:val="28"/>
                <w:szCs w:val="28"/>
                <w:b w:val="1"/>
                <w:bCs w:val="1"/>
                <w:color w:val="auto"/>
              </w:rPr>
              <w:t>大鳞大麻哈鱼</w:t>
            </w:r>
            <w:r>
              <w:rPr>
                <w:rFonts w:ascii="Times New Roman" w:cs="Times New Roman" w:eastAsia="Times New Roman" w:hAnsi="Times New Roman"/>
                <w:sz w:val="28"/>
                <w:szCs w:val="28"/>
                <w:b w:val="1"/>
                <w:bCs w:val="1"/>
                <w:color w:val="auto"/>
              </w:rPr>
              <w:t>/</w:t>
            </w:r>
            <w:r>
              <w:rPr>
                <w:rFonts w:ascii="宋体" w:cs="宋体" w:eastAsia="宋体" w:hAnsi="宋体"/>
                <w:sz w:val="28"/>
                <w:szCs w:val="28"/>
                <w:b w:val="1"/>
                <w:bCs w:val="1"/>
                <w:color w:val="auto"/>
              </w:rPr>
              <w:t>帝王鲑</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Oncorhynchus tshawytscha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42"/>
        </w:trPr>
        <w:tc>
          <w:tcPr>
            <w:tcW w:w="3460" w:type="dxa"/>
            <w:vAlign w:val="bottom"/>
            <w:tcBorders>
              <w:left w:val="single" w:sz="8" w:color="auto"/>
              <w:bottom w:val="single" w:sz="8" w:color="auto"/>
              <w:right w:val="single" w:sz="8" w:color="auto"/>
            </w:tcBorders>
          </w:tcPr>
          <w:p>
            <w:pPr>
              <w:spacing w:after="0"/>
              <w:rPr>
                <w:sz w:val="12"/>
                <w:szCs w:val="12"/>
                <w:color w:val="auto"/>
              </w:rPr>
            </w:pPr>
          </w:p>
        </w:tc>
        <w:tc>
          <w:tcPr>
            <w:tcW w:w="4320" w:type="dxa"/>
            <w:vAlign w:val="bottom"/>
            <w:tcBorders>
              <w:bottom w:val="single" w:sz="8" w:color="auto"/>
              <w:right w:val="single" w:sz="8" w:color="auto"/>
            </w:tcBorders>
          </w:tcPr>
          <w:p>
            <w:pPr>
              <w:spacing w:after="0"/>
              <w:rPr>
                <w:sz w:val="12"/>
                <w:szCs w:val="12"/>
                <w:color w:val="auto"/>
              </w:rPr>
            </w:pPr>
          </w:p>
        </w:tc>
        <w:tc>
          <w:tcPr>
            <w:tcW w:w="2700" w:type="dxa"/>
            <w:vAlign w:val="bottom"/>
            <w:tcBorders>
              <w:bottom w:val="single" w:sz="8" w:color="auto"/>
              <w:right w:val="single" w:sz="8" w:color="auto"/>
            </w:tcBorders>
          </w:tcPr>
          <w:p>
            <w:pPr>
              <w:spacing w:after="0"/>
              <w:rPr>
                <w:sz w:val="12"/>
                <w:szCs w:val="12"/>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大麻哈鱼</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Oncorhynchus keta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银大麻哈鱼</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Oncorhynchus kisutch</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细鳞大麻哈鱼</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Oncorhynchus gorbuscha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红大麻哈鱼</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Oncorhynchus nerka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淡水石首鱼</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Aplodinotus grunniens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冷冻淡水石首鱼</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弓鳍鱼籽</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Amia calva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冷冻弓鳍鱼籽</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白滨对虾</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Litopenaeus setiferus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冷冻虾</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西方白对虾</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Litopenaeus occidentalis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冷冻虾</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斯式对虾</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Litopenaeus schmitti</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冷冻虾</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32"/>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尾棘深海鳐</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Bathyraja pramifera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尾棘深海鳐</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纵沟康克螺</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Busycon canaliculatum</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海螺肉</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31"/>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沟螺</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Busycoptus canaliculatus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海螺肉</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左旋香螺</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Busycon carica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海螺肉</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31"/>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杂色平鲉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variegatus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3-39</w:t>
      </w:r>
    </w:p>
    <w:p>
      <w:pPr>
        <w:sectPr>
          <w:pgSz w:w="12240" w:h="15840" w:orient="portrait"/>
          <w:cols w:equalWidth="0" w:num="1">
            <w:col w:w="10480"/>
          </w:cols>
          <w:pgMar w:left="880" w:top="1440" w:right="880" w:bottom="439" w:gutter="0" w:footer="0" w:header="0"/>
        </w:sectPr>
      </w:pPr>
    </w:p>
    <w:bookmarkStart w:id="61" w:name="page62"/>
    <w:bookmarkEnd w:id="61"/>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tbl>
      <w:tblPr>
        <w:tblLayout w:type="fixed"/>
        <w:tblInd w:w="10" w:type="dxa"/>
        <w:tblCellMar>
          <w:top w:w="0" w:type="dxa"/>
          <w:left w:w="0" w:type="dxa"/>
          <w:bottom w:w="0" w:type="dxa"/>
          <w:right w:w="0" w:type="dxa"/>
        </w:tblCellMar>
      </w:tblPr>
      <w:tr>
        <w:trPr>
          <w:trHeight w:val="449"/>
        </w:trPr>
        <w:tc>
          <w:tcPr>
            <w:tcW w:w="3460" w:type="dxa"/>
            <w:vAlign w:val="bottom"/>
            <w:tcBorders>
              <w:top w:val="single" w:sz="8" w:color="auto"/>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黄尾平鲉</w:t>
            </w:r>
          </w:p>
        </w:tc>
        <w:tc>
          <w:tcPr>
            <w:tcW w:w="43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flavidus</w:t>
            </w:r>
          </w:p>
        </w:tc>
        <w:tc>
          <w:tcPr>
            <w:tcW w:w="2700" w:type="dxa"/>
            <w:vAlign w:val="bottom"/>
            <w:tcBorders>
              <w:top w:val="single" w:sz="8" w:color="auto"/>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31"/>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寡平鲉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entomelas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北方平鲉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borealis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阿留申平鲉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aleutianus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美洲平鲉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melanops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巴氏平鲉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babcocki</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红带平鲉</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Sebastes proriger</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冷冻鱼片</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36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美洲西鲱</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Alosa sapidissima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冷冻 冰鲜</w:t>
            </w:r>
          </w:p>
        </w:tc>
      </w:tr>
      <w:tr>
        <w:trPr>
          <w:trHeight w:val="226"/>
        </w:trPr>
        <w:tc>
          <w:tcPr>
            <w:tcW w:w="3460" w:type="dxa"/>
            <w:vAlign w:val="bottom"/>
            <w:tcBorders>
              <w:left w:val="single" w:sz="8" w:color="auto"/>
              <w:bottom w:val="single" w:sz="8" w:color="auto"/>
              <w:right w:val="single" w:sz="8" w:color="auto"/>
            </w:tcBorders>
          </w:tcPr>
          <w:p>
            <w:pPr>
              <w:spacing w:after="0"/>
              <w:rPr>
                <w:sz w:val="19"/>
                <w:szCs w:val="19"/>
                <w:color w:val="auto"/>
              </w:rPr>
            </w:pPr>
          </w:p>
        </w:tc>
        <w:tc>
          <w:tcPr>
            <w:tcW w:w="4320" w:type="dxa"/>
            <w:vAlign w:val="bottom"/>
            <w:tcBorders>
              <w:bottom w:val="single" w:sz="8" w:color="auto"/>
              <w:right w:val="single" w:sz="8" w:color="auto"/>
            </w:tcBorders>
          </w:tcPr>
          <w:p>
            <w:pPr>
              <w:spacing w:after="0"/>
              <w:rPr>
                <w:sz w:val="19"/>
                <w:szCs w:val="19"/>
                <w:color w:val="auto"/>
              </w:rPr>
            </w:pPr>
          </w:p>
        </w:tc>
        <w:tc>
          <w:tcPr>
            <w:tcW w:w="2700" w:type="dxa"/>
            <w:vAlign w:val="bottom"/>
            <w:tcBorders>
              <w:bottom w:val="single" w:sz="8" w:color="auto"/>
              <w:right w:val="single" w:sz="8" w:color="auto"/>
            </w:tcBorders>
          </w:tcPr>
          <w:p>
            <w:pPr>
              <w:ind w:left="640"/>
              <w:spacing w:after="0" w:line="226" w:lineRule="exact"/>
              <w:rPr>
                <w:sz w:val="20"/>
                <w:szCs w:val="20"/>
                <w:color w:val="auto"/>
              </w:rPr>
            </w:pPr>
            <w:r>
              <w:rPr>
                <w:rFonts w:ascii="Times New Roman" w:cs="Times New Roman" w:eastAsia="Times New Roman" w:hAnsi="Times New Roman"/>
                <w:sz w:val="26"/>
                <w:szCs w:val="26"/>
                <w:b w:val="1"/>
                <w:bCs w:val="1"/>
                <w:color w:val="auto"/>
              </w:rPr>
              <w:t>/</w:t>
            </w: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阿拉斯加鳕鱼（油）</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Gadus chalcogrammus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黄线狭鳕鱼（油）</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Theragra chalcogramma</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6"/>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r>
        <w:trPr>
          <w:trHeight w:val="429"/>
        </w:trPr>
        <w:tc>
          <w:tcPr>
            <w:tcW w:w="3460" w:type="dxa"/>
            <w:vAlign w:val="bottom"/>
            <w:tcBorders>
              <w:left w:val="single" w:sz="8" w:color="auto"/>
              <w:right w:val="single" w:sz="8" w:color="auto"/>
            </w:tcBorders>
          </w:tcPr>
          <w:p>
            <w:pPr>
              <w:ind w:left="120"/>
              <w:spacing w:after="0" w:line="320" w:lineRule="exact"/>
              <w:rPr>
                <w:sz w:val="20"/>
                <w:szCs w:val="20"/>
                <w:color w:val="auto"/>
              </w:rPr>
            </w:pPr>
            <w:r>
              <w:rPr>
                <w:rFonts w:ascii="宋体" w:cs="宋体" w:eastAsia="宋体" w:hAnsi="宋体"/>
                <w:sz w:val="28"/>
                <w:szCs w:val="28"/>
                <w:b w:val="1"/>
                <w:bCs w:val="1"/>
                <w:color w:val="auto"/>
              </w:rPr>
              <w:t>太平洋鳕鱼（油）</w:t>
            </w:r>
          </w:p>
        </w:tc>
        <w:tc>
          <w:tcPr>
            <w:tcW w:w="43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8"/>
                <w:szCs w:val="28"/>
                <w:b w:val="1"/>
                <w:bCs w:val="1"/>
                <w:color w:val="auto"/>
              </w:rPr>
              <w:t>Merluccius productus</w:t>
            </w:r>
          </w:p>
        </w:tc>
        <w:tc>
          <w:tcPr>
            <w:tcW w:w="2700" w:type="dxa"/>
            <w:vAlign w:val="bottom"/>
            <w:tcBorders>
              <w:right w:val="single" w:sz="8" w:color="auto"/>
            </w:tcBorders>
          </w:tcPr>
          <w:p>
            <w:pPr>
              <w:ind w:left="80"/>
              <w:spacing w:after="0" w:line="320" w:lineRule="exact"/>
              <w:rPr>
                <w:sz w:val="20"/>
                <w:szCs w:val="20"/>
                <w:color w:val="auto"/>
              </w:rPr>
            </w:pPr>
            <w:r>
              <w:rPr>
                <w:rFonts w:ascii="宋体" w:cs="宋体" w:eastAsia="宋体" w:hAnsi="宋体"/>
                <w:sz w:val="28"/>
                <w:szCs w:val="28"/>
                <w:b w:val="1"/>
                <w:bCs w:val="1"/>
                <w:color w:val="auto"/>
              </w:rPr>
              <w:t>鱼油</w:t>
            </w:r>
          </w:p>
        </w:tc>
      </w:tr>
      <w:tr>
        <w:trPr>
          <w:trHeight w:val="163"/>
        </w:trPr>
        <w:tc>
          <w:tcPr>
            <w:tcW w:w="3460" w:type="dxa"/>
            <w:vAlign w:val="bottom"/>
            <w:tcBorders>
              <w:left w:val="single" w:sz="8" w:color="auto"/>
              <w:bottom w:val="single" w:sz="8" w:color="auto"/>
              <w:right w:val="single" w:sz="8" w:color="auto"/>
            </w:tcBorders>
          </w:tcPr>
          <w:p>
            <w:pPr>
              <w:spacing w:after="0"/>
              <w:rPr>
                <w:sz w:val="14"/>
                <w:szCs w:val="14"/>
                <w:color w:val="auto"/>
              </w:rPr>
            </w:pPr>
          </w:p>
        </w:tc>
        <w:tc>
          <w:tcPr>
            <w:tcW w:w="4320" w:type="dxa"/>
            <w:vAlign w:val="bottom"/>
            <w:tcBorders>
              <w:bottom w:val="single" w:sz="8" w:color="auto"/>
              <w:right w:val="single" w:sz="8" w:color="auto"/>
            </w:tcBorders>
          </w:tcPr>
          <w:p>
            <w:pPr>
              <w:spacing w:after="0"/>
              <w:rPr>
                <w:sz w:val="14"/>
                <w:szCs w:val="14"/>
                <w:color w:val="auto"/>
              </w:rPr>
            </w:pPr>
          </w:p>
        </w:tc>
        <w:tc>
          <w:tcPr>
            <w:tcW w:w="2700" w:type="dxa"/>
            <w:vAlign w:val="bottom"/>
            <w:tcBorders>
              <w:bottom w:val="single" w:sz="8" w:color="auto"/>
              <w:right w:val="single" w:sz="8" w:color="auto"/>
            </w:tcBorders>
          </w:tcPr>
          <w:p>
            <w:pPr>
              <w:spacing w:after="0"/>
              <w:rPr>
                <w:sz w:val="14"/>
                <w:szCs w:val="1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color w:val="auto"/>
        </w:rPr>
        <w:t>3-40</w:t>
      </w:r>
    </w:p>
    <w:p>
      <w:pPr>
        <w:sectPr>
          <w:pgSz w:w="12240" w:h="15840" w:orient="portrait"/>
          <w:cols w:equalWidth="0" w:num="1">
            <w:col w:w="10480"/>
          </w:cols>
          <w:pgMar w:left="880" w:top="1440" w:right="880" w:bottom="439" w:gutter="0" w:footer="0" w:header="0"/>
        </w:sectPr>
      </w:pPr>
    </w:p>
    <w:bookmarkStart w:id="62" w:name="page63"/>
    <w:bookmarkEnd w:id="62"/>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jc w:val="center"/>
        <w:ind w:right="60"/>
        <w:spacing w:after="0" w:line="341" w:lineRule="exact"/>
        <w:rPr>
          <w:sz w:val="20"/>
          <w:szCs w:val="20"/>
          <w:color w:val="auto"/>
        </w:rPr>
      </w:pPr>
      <w:r>
        <w:rPr>
          <w:rFonts w:ascii="宋体" w:cs="宋体" w:eastAsia="宋体" w:hAnsi="宋体"/>
          <w:sz w:val="28"/>
          <w:szCs w:val="28"/>
          <w:b w:val="1"/>
          <w:bCs w:val="1"/>
          <w:color w:val="auto"/>
        </w:rPr>
        <w:t>附件</w:t>
      </w:r>
      <w:r>
        <w:rPr>
          <w:rFonts w:ascii="Times New Roman" w:cs="Times New Roman" w:eastAsia="Times New Roman" w:hAnsi="Times New Roman"/>
          <w:sz w:val="28"/>
          <w:szCs w:val="28"/>
          <w:b w:val="1"/>
          <w:bCs w:val="1"/>
          <w:color w:val="auto"/>
        </w:rPr>
        <w:t xml:space="preserve"> 2:</w:t>
      </w:r>
      <w:r>
        <w:rPr>
          <w:rFonts w:ascii="宋体" w:cs="宋体" w:eastAsia="宋体" w:hAnsi="宋体"/>
          <w:sz w:val="28"/>
          <w:szCs w:val="28"/>
          <w:b w:val="1"/>
          <w:bCs w:val="1"/>
          <w:color w:val="auto"/>
        </w:rPr>
        <w:t>传统贸易产品</w:t>
      </w:r>
    </w:p>
    <w:p>
      <w:pPr>
        <w:spacing w:after="0" w:line="306" w:lineRule="exact"/>
        <w:rPr>
          <w:sz w:val="20"/>
          <w:szCs w:val="20"/>
          <w:color w:val="auto"/>
        </w:rPr>
      </w:pPr>
    </w:p>
    <w:tbl>
      <w:tblPr>
        <w:tblLayout w:type="fixed"/>
        <w:tblInd w:w="10" w:type="dxa"/>
        <w:tblCellMar>
          <w:top w:w="0" w:type="dxa"/>
          <w:left w:w="0" w:type="dxa"/>
          <w:bottom w:w="0" w:type="dxa"/>
          <w:right w:w="0" w:type="dxa"/>
        </w:tblCellMar>
      </w:tblPr>
      <w:tr>
        <w:trPr>
          <w:trHeight w:val="239"/>
        </w:trPr>
        <w:tc>
          <w:tcPr>
            <w:tcW w:w="720" w:type="dxa"/>
            <w:vAlign w:val="bottom"/>
            <w:tcBorders>
              <w:top w:val="single" w:sz="8" w:color="auto"/>
              <w:left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序号</w:t>
            </w:r>
          </w:p>
        </w:tc>
        <w:tc>
          <w:tcPr>
            <w:tcW w:w="100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b w:val="1"/>
                <w:bCs w:val="1"/>
                <w:color w:val="auto"/>
                <w:w w:val="99"/>
              </w:rPr>
              <w:t>批准号</w:t>
            </w:r>
          </w:p>
        </w:tc>
        <w:tc>
          <w:tcPr>
            <w:tcW w:w="240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生产加工企业名称</w:t>
            </w:r>
          </w:p>
        </w:tc>
        <w:tc>
          <w:tcPr>
            <w:tcW w:w="128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b w:val="1"/>
                <w:bCs w:val="1"/>
                <w:color w:val="auto"/>
              </w:rPr>
              <w:t>产品名称</w:t>
            </w:r>
          </w:p>
        </w:tc>
        <w:tc>
          <w:tcPr>
            <w:tcW w:w="184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rPr>
              <w:t>产品用途</w:t>
            </w:r>
          </w:p>
        </w:tc>
        <w:tc>
          <w:tcPr>
            <w:tcW w:w="214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b w:val="1"/>
                <w:bCs w:val="1"/>
                <w:color w:val="auto"/>
                <w:w w:val="99"/>
              </w:rPr>
              <w:t>原料</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Register</w:t>
            </w: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Product</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1"/>
        </w:trPr>
        <w:tc>
          <w:tcPr>
            <w:tcW w:w="720" w:type="dxa"/>
            <w:vAlign w:val="bottom"/>
            <w:tcBorders>
              <w:left w:val="single" w:sz="8" w:color="auto"/>
              <w:right w:val="single" w:sz="8" w:color="auto"/>
            </w:tcBorders>
            <w:vMerge w:val="restart"/>
          </w:tcPr>
          <w:p>
            <w:pPr>
              <w:ind w:left="200"/>
              <w:spacing w:after="0"/>
              <w:rPr>
                <w:sz w:val="20"/>
                <w:szCs w:val="20"/>
                <w:color w:val="auto"/>
              </w:rPr>
            </w:pPr>
            <w:r>
              <w:rPr>
                <w:rFonts w:ascii="Times New Roman" w:cs="Times New Roman" w:eastAsia="Times New Roman" w:hAnsi="Times New Roman"/>
                <w:sz w:val="20"/>
                <w:szCs w:val="20"/>
                <w:b w:val="1"/>
                <w:bCs w:val="1"/>
                <w:color w:val="auto"/>
              </w:rPr>
              <w:t>No.</w:t>
            </w:r>
          </w:p>
        </w:tc>
        <w:tc>
          <w:tcPr>
            <w:tcW w:w="1000" w:type="dxa"/>
            <w:vAlign w:val="bottom"/>
            <w:tcBorders>
              <w:right w:val="single" w:sz="8" w:color="auto"/>
            </w:tcBorders>
            <w:vMerge w:val="continue"/>
          </w:tcPr>
          <w:p>
            <w:pPr>
              <w:spacing w:after="0"/>
              <w:rPr>
                <w:sz w:val="12"/>
                <w:szCs w:val="12"/>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Establishment Name</w:t>
            </w:r>
          </w:p>
        </w:tc>
        <w:tc>
          <w:tcPr>
            <w:tcW w:w="128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Usage of Product</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Raw Material</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rPr>
              <w:t>Number</w:t>
            </w: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b w:val="1"/>
                <w:bCs w:val="1"/>
                <w:color w:val="auto"/>
                <w:w w:val="99"/>
              </w:rPr>
              <w:t>Name</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vMerge w:val="continue"/>
          </w:tcPr>
          <w:p>
            <w:pPr>
              <w:spacing w:after="0"/>
              <w:rPr>
                <w:sz w:val="10"/>
                <w:szCs w:val="10"/>
                <w:color w:val="auto"/>
              </w:rPr>
            </w:pPr>
          </w:p>
        </w:tc>
        <w:tc>
          <w:tcPr>
            <w:tcW w:w="2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vMerge w:val="continue"/>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2400" w:type="dxa"/>
            <w:vAlign w:val="bottom"/>
            <w:tcBorders>
              <w:right w:val="single" w:sz="8" w:color="auto"/>
            </w:tcBorders>
          </w:tcPr>
          <w:p>
            <w:pPr>
              <w:spacing w:after="0"/>
              <w:rPr>
                <w:sz w:val="20"/>
                <w:szCs w:val="20"/>
                <w:color w:val="auto"/>
              </w:rPr>
            </w:pPr>
          </w:p>
        </w:tc>
        <w:tc>
          <w:tcPr>
            <w:tcW w:w="128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tcPr>
          <w:p>
            <w:pPr>
              <w:jc w:val="center"/>
              <w:spacing w:after="0" w:line="221" w:lineRule="exact"/>
              <w:rPr>
                <w:sz w:val="20"/>
                <w:szCs w:val="20"/>
                <w:color w:val="auto"/>
              </w:rPr>
            </w:pPr>
            <w:r>
              <w:rPr>
                <w:rFonts w:ascii="宋体" w:cs="宋体" w:eastAsia="宋体" w:hAnsi="宋体"/>
                <w:sz w:val="20"/>
                <w:szCs w:val="20"/>
                <w:color w:val="auto"/>
                <w:w w:val="98"/>
              </w:rPr>
              <w:t>饲料抗结块剂</w:t>
            </w:r>
          </w:p>
        </w:tc>
        <w:tc>
          <w:tcPr>
            <w:tcW w:w="21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水合硅铝酸钠钙</w:t>
            </w:r>
          </w:p>
        </w:tc>
        <w:tc>
          <w:tcPr>
            <w:tcW w:w="0" w:type="dxa"/>
            <w:vAlign w:val="bottom"/>
          </w:tcPr>
          <w:p>
            <w:pPr>
              <w:spacing w:after="0"/>
              <w:rPr>
                <w:sz w:val="1"/>
                <w:szCs w:val="1"/>
                <w:color w:val="auto"/>
              </w:rPr>
            </w:pPr>
          </w:p>
        </w:tc>
      </w:tr>
      <w:tr>
        <w:trPr>
          <w:trHeight w:val="252"/>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w:t>
            </w:r>
          </w:p>
        </w:tc>
        <w:tc>
          <w:tcPr>
            <w:tcW w:w="1000" w:type="dxa"/>
            <w:vAlign w:val="bottom"/>
            <w:tcBorders>
              <w:right w:val="single" w:sz="8" w:color="auto"/>
            </w:tcBorders>
          </w:tcPr>
          <w:p>
            <w:pPr>
              <w:spacing w:after="0"/>
              <w:rPr>
                <w:sz w:val="21"/>
                <w:szCs w:val="21"/>
                <w:color w:val="auto"/>
              </w:rPr>
            </w:pPr>
          </w:p>
        </w:tc>
        <w:tc>
          <w:tcPr>
            <w:tcW w:w="2400" w:type="dxa"/>
            <w:vAlign w:val="bottom"/>
            <w:tcBorders>
              <w:right w:val="single" w:sz="8" w:color="auto"/>
            </w:tcBorders>
          </w:tcPr>
          <w:p>
            <w:pPr>
              <w:jc w:val="center"/>
              <w:spacing w:after="0" w:line="244" w:lineRule="exact"/>
              <w:rPr>
                <w:sz w:val="20"/>
                <w:szCs w:val="20"/>
                <w:color w:val="auto"/>
              </w:rPr>
            </w:pPr>
            <w:r>
              <w:rPr>
                <w:rFonts w:ascii="宋体" w:cs="宋体" w:eastAsia="宋体" w:hAnsi="宋体"/>
                <w:sz w:val="20"/>
                <w:szCs w:val="20"/>
                <w:color w:val="auto"/>
                <w:w w:val="98"/>
              </w:rPr>
              <w:t>美国</w:t>
            </w:r>
            <w:r>
              <w:rPr>
                <w:rFonts w:ascii="Times New Roman" w:cs="Times New Roman" w:eastAsia="Times New Roman" w:hAnsi="Times New Roman"/>
                <w:sz w:val="20"/>
                <w:szCs w:val="20"/>
                <w:color w:val="auto"/>
                <w:w w:val="98"/>
              </w:rPr>
              <w:t xml:space="preserve"> ACG </w:t>
            </w:r>
            <w:r>
              <w:rPr>
                <w:rFonts w:ascii="宋体" w:cs="宋体" w:eastAsia="宋体" w:hAnsi="宋体"/>
                <w:sz w:val="20"/>
                <w:szCs w:val="20"/>
                <w:color w:val="auto"/>
                <w:w w:val="98"/>
              </w:rPr>
              <w:t>产品有限公司</w:t>
            </w:r>
          </w:p>
        </w:tc>
        <w:tc>
          <w:tcPr>
            <w:tcW w:w="128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6"/>
              </w:rPr>
              <w:t>饲料宝</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Anti-caking Agent</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Hydrated Sodium</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ACG Products Ltd., USA</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Feed Bond</w:t>
            </w:r>
          </w:p>
        </w:tc>
        <w:tc>
          <w:tcPr>
            <w:tcW w:w="1840" w:type="dxa"/>
            <w:vAlign w:val="bottom"/>
            <w:tcBorders>
              <w:right w:val="single" w:sz="8" w:color="auto"/>
            </w:tcBorders>
            <w:vMerge w:val="restart"/>
          </w:tcPr>
          <w:p>
            <w:pPr>
              <w:jc w:val="center"/>
              <w:spacing w:after="0" w:line="224" w:lineRule="exact"/>
              <w:rPr>
                <w:sz w:val="20"/>
                <w:szCs w:val="20"/>
                <w:color w:val="auto"/>
              </w:rPr>
            </w:pPr>
            <w:r>
              <w:rPr>
                <w:rFonts w:ascii="宋体" w:cs="宋体" w:eastAsia="宋体" w:hAnsi="宋体"/>
                <w:sz w:val="20"/>
                <w:szCs w:val="20"/>
                <w:color w:val="auto"/>
                <w:w w:val="97"/>
              </w:rPr>
              <w:t>所有动物</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Calcium</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50"/>
        </w:trPr>
        <w:tc>
          <w:tcPr>
            <w:tcW w:w="720" w:type="dxa"/>
            <w:vAlign w:val="bottom"/>
            <w:tcBorders>
              <w:left w:val="single" w:sz="8" w:color="auto"/>
              <w:bottom w:val="single" w:sz="8" w:color="auto"/>
              <w:right w:val="single" w:sz="8" w:color="auto"/>
            </w:tcBorders>
          </w:tcPr>
          <w:p>
            <w:pPr>
              <w:spacing w:after="0"/>
              <w:rPr>
                <w:sz w:val="21"/>
                <w:szCs w:val="21"/>
                <w:color w:val="auto"/>
              </w:rPr>
            </w:pPr>
          </w:p>
        </w:tc>
        <w:tc>
          <w:tcPr>
            <w:tcW w:w="1000" w:type="dxa"/>
            <w:vAlign w:val="bottom"/>
            <w:tcBorders>
              <w:bottom w:val="single" w:sz="8" w:color="auto"/>
              <w:right w:val="single" w:sz="8" w:color="auto"/>
            </w:tcBorders>
          </w:tcPr>
          <w:p>
            <w:pPr>
              <w:spacing w:after="0"/>
              <w:rPr>
                <w:sz w:val="21"/>
                <w:szCs w:val="21"/>
                <w:color w:val="auto"/>
              </w:rPr>
            </w:pPr>
          </w:p>
        </w:tc>
        <w:tc>
          <w:tcPr>
            <w:tcW w:w="2400" w:type="dxa"/>
            <w:vAlign w:val="bottom"/>
            <w:tcBorders>
              <w:bottom w:val="single" w:sz="8" w:color="auto"/>
              <w:right w:val="single" w:sz="8" w:color="auto"/>
            </w:tcBorders>
          </w:tcPr>
          <w:p>
            <w:pPr>
              <w:spacing w:after="0"/>
              <w:rPr>
                <w:sz w:val="21"/>
                <w:szCs w:val="21"/>
                <w:color w:val="auto"/>
              </w:rPr>
            </w:pPr>
          </w:p>
        </w:tc>
        <w:tc>
          <w:tcPr>
            <w:tcW w:w="1280" w:type="dxa"/>
            <w:vAlign w:val="bottom"/>
            <w:tcBorders>
              <w:bottom w:val="single" w:sz="8" w:color="auto"/>
              <w:right w:val="single" w:sz="8" w:color="auto"/>
            </w:tcBorders>
          </w:tcPr>
          <w:p>
            <w:pPr>
              <w:spacing w:after="0"/>
              <w:rPr>
                <w:sz w:val="21"/>
                <w:szCs w:val="21"/>
                <w:color w:val="auto"/>
              </w:rPr>
            </w:pP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All animal</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Aluminosilicate</w:t>
            </w: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2</w:t>
            </w: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美国奥特奇公司</w:t>
            </w:r>
          </w:p>
        </w:tc>
        <w:tc>
          <w:tcPr>
            <w:tcW w:w="128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6"/>
              </w:rPr>
              <w:t>奥迈乐</w:t>
            </w: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8"/>
              </w:rPr>
              <w:t>饲料添加剂尿素</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尿素</w:t>
            </w: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Alltech Inc., USA</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Optimase</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 Urea</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Urea</w:t>
            </w: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vMerge w:val="continue"/>
          </w:tcPr>
          <w:p>
            <w:pPr>
              <w:spacing w:after="0"/>
              <w:rPr>
                <w:sz w:val="11"/>
                <w:szCs w:val="11"/>
                <w:color w:val="auto"/>
              </w:rPr>
            </w:pPr>
          </w:p>
        </w:tc>
        <w:tc>
          <w:tcPr>
            <w:tcW w:w="1280" w:type="dxa"/>
            <w:vAlign w:val="bottom"/>
            <w:tcBorders>
              <w:bottom w:val="single" w:sz="8" w:color="auto"/>
              <w:right w:val="single" w:sz="8" w:color="auto"/>
            </w:tcBorders>
            <w:vMerge w:val="continue"/>
          </w:tcPr>
          <w:p>
            <w:pPr>
              <w:spacing w:after="0"/>
              <w:rPr>
                <w:sz w:val="11"/>
                <w:szCs w:val="11"/>
                <w:color w:val="auto"/>
              </w:rPr>
            </w:pPr>
          </w:p>
        </w:tc>
        <w:tc>
          <w:tcPr>
            <w:tcW w:w="1840" w:type="dxa"/>
            <w:vAlign w:val="bottom"/>
            <w:tcBorders>
              <w:bottom w:val="single" w:sz="8" w:color="auto"/>
              <w:right w:val="single" w:sz="8" w:color="auto"/>
            </w:tcBorders>
            <w:vMerge w:val="continue"/>
          </w:tcPr>
          <w:p>
            <w:pPr>
              <w:spacing w:after="0"/>
              <w:rPr>
                <w:sz w:val="11"/>
                <w:szCs w:val="11"/>
                <w:color w:val="auto"/>
              </w:rPr>
            </w:pPr>
          </w:p>
        </w:tc>
        <w:tc>
          <w:tcPr>
            <w:tcW w:w="21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优知乐</w:t>
            </w: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8"/>
              </w:rPr>
              <w:t>母猪微量元素预混</w:t>
            </w:r>
          </w:p>
        </w:tc>
        <w:tc>
          <w:tcPr>
            <w:tcW w:w="2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美国奥特奇公司</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合饲料</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矿物质饲料添加剂</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3</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Sow</w:t>
            </w: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Alltech Inc., USA</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Trace Mineral</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Natural Minerals</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Advantage</w:t>
            </w: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tcPr>
          <w:p>
            <w:pPr>
              <w:spacing w:after="0"/>
              <w:rPr>
                <w:sz w:val="8"/>
                <w:szCs w:val="8"/>
                <w:color w:val="auto"/>
              </w:rPr>
            </w:pPr>
          </w:p>
        </w:tc>
        <w:tc>
          <w:tcPr>
            <w:tcW w:w="1280" w:type="dxa"/>
            <w:vAlign w:val="bottom"/>
            <w:tcBorders>
              <w:right w:val="single" w:sz="8" w:color="auto"/>
            </w:tcBorders>
            <w:vMerge w:val="continue"/>
          </w:tcPr>
          <w:p>
            <w:pPr>
              <w:spacing w:after="0"/>
              <w:rPr>
                <w:sz w:val="8"/>
                <w:szCs w:val="8"/>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Premix for Sow</w:t>
            </w:r>
          </w:p>
        </w:tc>
        <w:tc>
          <w:tcPr>
            <w:tcW w:w="2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vMerge w:val="continue"/>
          </w:tcPr>
          <w:p>
            <w:pPr>
              <w:spacing w:after="0"/>
              <w:rPr>
                <w:sz w:val="11"/>
                <w:szCs w:val="11"/>
                <w:color w:val="auto"/>
              </w:rPr>
            </w:pPr>
          </w:p>
        </w:tc>
        <w:tc>
          <w:tcPr>
            <w:tcW w:w="21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美国生物系统有限公司</w:t>
            </w:r>
          </w:p>
        </w:tc>
        <w:tc>
          <w:tcPr>
            <w:tcW w:w="128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超益</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饲料添加剂</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酵母硒</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4</w:t>
            </w: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American Biosystems,</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Super Dairy,</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Yeast</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Inc., USA</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Combo</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vMerge w:val="continue"/>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美国白尔康公司</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妞舒</w:t>
            </w: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8"/>
              </w:rPr>
              <w:t>饲料添加剂尿素</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尿素</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5</w:t>
            </w: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Balchem 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 Urea</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NitroShure</w:t>
            </w: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Urea</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USA</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(Dairy cows)</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vMerge w:val="continue"/>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16"/>
        </w:trPr>
        <w:tc>
          <w:tcPr>
            <w:tcW w:w="720" w:type="dxa"/>
            <w:vAlign w:val="bottom"/>
            <w:tcBorders>
              <w:left w:val="single" w:sz="8" w:color="auto"/>
              <w:right w:val="single" w:sz="8" w:color="auto"/>
            </w:tcBorders>
          </w:tcPr>
          <w:p>
            <w:pPr>
              <w:spacing w:after="0"/>
              <w:rPr>
                <w:sz w:val="18"/>
                <w:szCs w:val="18"/>
                <w:color w:val="auto"/>
              </w:rPr>
            </w:pPr>
          </w:p>
        </w:tc>
        <w:tc>
          <w:tcPr>
            <w:tcW w:w="1000" w:type="dxa"/>
            <w:vAlign w:val="bottom"/>
            <w:tcBorders>
              <w:right w:val="single" w:sz="8" w:color="auto"/>
            </w:tcBorders>
          </w:tcPr>
          <w:p>
            <w:pPr>
              <w:spacing w:after="0"/>
              <w:rPr>
                <w:sz w:val="18"/>
                <w:szCs w:val="18"/>
                <w:color w:val="auto"/>
              </w:rPr>
            </w:pPr>
          </w:p>
        </w:tc>
        <w:tc>
          <w:tcPr>
            <w:tcW w:w="2400" w:type="dxa"/>
            <w:vAlign w:val="bottom"/>
            <w:tcBorders>
              <w:right w:val="single" w:sz="8" w:color="auto"/>
            </w:tcBorders>
          </w:tcPr>
          <w:p>
            <w:pPr>
              <w:spacing w:after="0"/>
              <w:rPr>
                <w:sz w:val="18"/>
                <w:szCs w:val="18"/>
                <w:color w:val="auto"/>
              </w:rPr>
            </w:pPr>
          </w:p>
        </w:tc>
        <w:tc>
          <w:tcPr>
            <w:tcW w:w="1280" w:type="dxa"/>
            <w:vAlign w:val="bottom"/>
            <w:tcBorders>
              <w:right w:val="single" w:sz="8" w:color="auto"/>
            </w:tcBorders>
          </w:tcPr>
          <w:p>
            <w:pPr>
              <w:spacing w:after="0"/>
              <w:rPr>
                <w:sz w:val="18"/>
                <w:szCs w:val="18"/>
                <w:color w:val="auto"/>
              </w:rPr>
            </w:pPr>
          </w:p>
        </w:tc>
        <w:tc>
          <w:tcPr>
            <w:tcW w:w="1840" w:type="dxa"/>
            <w:vAlign w:val="bottom"/>
            <w:tcBorders>
              <w:right w:val="single" w:sz="8" w:color="auto"/>
            </w:tcBorders>
          </w:tcPr>
          <w:p>
            <w:pPr>
              <w:jc w:val="center"/>
              <w:spacing w:after="0" w:line="216" w:lineRule="exact"/>
              <w:rPr>
                <w:sz w:val="20"/>
                <w:szCs w:val="20"/>
                <w:color w:val="auto"/>
              </w:rPr>
            </w:pPr>
            <w:r>
              <w:rPr>
                <w:rFonts w:ascii="Times New Roman" w:cs="Times New Roman" w:eastAsia="Times New Roman" w:hAnsi="Times New Roman"/>
                <w:sz w:val="20"/>
                <w:szCs w:val="20"/>
                <w:color w:val="auto"/>
                <w:w w:val="99"/>
              </w:rPr>
              <w:t>Enzyme Feed grade</w:t>
            </w:r>
          </w:p>
        </w:tc>
        <w:tc>
          <w:tcPr>
            <w:tcW w:w="2140" w:type="dxa"/>
            <w:vAlign w:val="bottom"/>
            <w:tcBorders>
              <w:right w:val="single" w:sz="8" w:color="auto"/>
            </w:tcBorders>
            <w:vMerge w:val="restart"/>
          </w:tcPr>
          <w:p>
            <w:pPr>
              <w:jc w:val="center"/>
              <w:spacing w:after="0" w:line="244" w:lineRule="exact"/>
              <w:rPr>
                <w:sz w:val="20"/>
                <w:szCs w:val="20"/>
                <w:color w:val="auto"/>
              </w:rPr>
            </w:pPr>
            <w:r>
              <w:rPr>
                <w:rFonts w:ascii="Times New Roman" w:cs="Times New Roman" w:eastAsia="Times New Roman" w:hAnsi="Times New Roman"/>
                <w:sz w:val="20"/>
                <w:szCs w:val="20"/>
                <w:color w:val="auto"/>
                <w:w w:val="99"/>
              </w:rPr>
              <w:t>α—</w:t>
            </w:r>
            <w:r>
              <w:rPr>
                <w:rFonts w:ascii="宋体" w:cs="宋体" w:eastAsia="宋体" w:hAnsi="宋体"/>
                <w:sz w:val="20"/>
                <w:szCs w:val="20"/>
                <w:color w:val="auto"/>
                <w:w w:val="99"/>
              </w:rPr>
              <w:t>淀粉酶（产自米曲</w:t>
            </w:r>
          </w:p>
        </w:tc>
        <w:tc>
          <w:tcPr>
            <w:tcW w:w="0" w:type="dxa"/>
            <w:vAlign w:val="bottom"/>
          </w:tcPr>
          <w:p>
            <w:pPr>
              <w:spacing w:after="0"/>
              <w:rPr>
                <w:sz w:val="1"/>
                <w:szCs w:val="1"/>
                <w:color w:val="auto"/>
              </w:rPr>
            </w:pPr>
          </w:p>
        </w:tc>
      </w:tr>
      <w:tr>
        <w:trPr>
          <w:trHeight w:val="120"/>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养殖动物</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line="244" w:lineRule="exact"/>
              <w:rPr>
                <w:sz w:val="20"/>
                <w:szCs w:val="20"/>
                <w:color w:val="auto"/>
              </w:rPr>
            </w:pPr>
            <w:r>
              <w:rPr>
                <w:rFonts w:ascii="宋体" w:cs="宋体" w:eastAsia="宋体" w:hAnsi="宋体"/>
                <w:sz w:val="20"/>
                <w:szCs w:val="20"/>
                <w:color w:val="auto"/>
                <w:w w:val="99"/>
              </w:rPr>
              <w:t>美国</w:t>
            </w:r>
            <w:r>
              <w:rPr>
                <w:rFonts w:ascii="Times New Roman" w:cs="Times New Roman" w:eastAsia="Times New Roman" w:hAnsi="Times New Roman"/>
                <w:sz w:val="20"/>
                <w:szCs w:val="20"/>
                <w:color w:val="auto"/>
                <w:w w:val="99"/>
              </w:rPr>
              <w:t xml:space="preserve"> Biozyme </w:t>
            </w:r>
            <w:r>
              <w:rPr>
                <w:rFonts w:ascii="宋体" w:cs="宋体" w:eastAsia="宋体" w:hAnsi="宋体"/>
                <w:sz w:val="20"/>
                <w:szCs w:val="20"/>
                <w:color w:val="auto"/>
                <w:w w:val="99"/>
              </w:rPr>
              <w:t>公司</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艾美福</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霉）</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6</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(All species or</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BioZyme Incorporated</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AMAFERM</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α-Amylase (by</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w w:val="99"/>
              </w:rPr>
              <w:t>categories of</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84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Aspergillus Oryzae)</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tcPr>
          <w:p>
            <w:pPr>
              <w:spacing w:after="0"/>
              <w:rPr>
                <w:sz w:val="11"/>
                <w:szCs w:val="11"/>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animals)</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5"/>
        </w:trPr>
        <w:tc>
          <w:tcPr>
            <w:tcW w:w="720" w:type="dxa"/>
            <w:vAlign w:val="bottom"/>
            <w:tcBorders>
              <w:left w:val="single" w:sz="8" w:color="auto"/>
              <w:bottom w:val="single" w:sz="8" w:color="auto"/>
              <w:right w:val="single" w:sz="8" w:color="auto"/>
            </w:tcBorders>
          </w:tcPr>
          <w:p>
            <w:pPr>
              <w:spacing w:after="0"/>
              <w:rPr>
                <w:sz w:val="9"/>
                <w:szCs w:val="9"/>
                <w:color w:val="auto"/>
              </w:rPr>
            </w:pPr>
          </w:p>
        </w:tc>
        <w:tc>
          <w:tcPr>
            <w:tcW w:w="1000" w:type="dxa"/>
            <w:vAlign w:val="bottom"/>
            <w:tcBorders>
              <w:bottom w:val="single" w:sz="8" w:color="auto"/>
              <w:right w:val="single" w:sz="8" w:color="auto"/>
            </w:tcBorders>
          </w:tcPr>
          <w:p>
            <w:pPr>
              <w:spacing w:after="0"/>
              <w:rPr>
                <w:sz w:val="9"/>
                <w:szCs w:val="9"/>
                <w:color w:val="auto"/>
              </w:rPr>
            </w:pPr>
          </w:p>
        </w:tc>
        <w:tc>
          <w:tcPr>
            <w:tcW w:w="2400" w:type="dxa"/>
            <w:vAlign w:val="bottom"/>
            <w:tcBorders>
              <w:bottom w:val="single" w:sz="8" w:color="auto"/>
              <w:right w:val="single" w:sz="8" w:color="auto"/>
            </w:tcBorders>
          </w:tcPr>
          <w:p>
            <w:pPr>
              <w:spacing w:after="0"/>
              <w:rPr>
                <w:sz w:val="9"/>
                <w:szCs w:val="9"/>
                <w:color w:val="auto"/>
              </w:rPr>
            </w:pPr>
          </w:p>
        </w:tc>
        <w:tc>
          <w:tcPr>
            <w:tcW w:w="1280" w:type="dxa"/>
            <w:vAlign w:val="bottom"/>
            <w:tcBorders>
              <w:bottom w:val="single" w:sz="8" w:color="auto"/>
              <w:right w:val="single" w:sz="8" w:color="auto"/>
            </w:tcBorders>
          </w:tcPr>
          <w:p>
            <w:pPr>
              <w:spacing w:after="0"/>
              <w:rPr>
                <w:sz w:val="9"/>
                <w:szCs w:val="9"/>
                <w:color w:val="auto"/>
              </w:rPr>
            </w:pPr>
          </w:p>
        </w:tc>
        <w:tc>
          <w:tcPr>
            <w:tcW w:w="1840" w:type="dxa"/>
            <w:vAlign w:val="bottom"/>
            <w:tcBorders>
              <w:bottom w:val="single" w:sz="8" w:color="auto"/>
              <w:right w:val="single" w:sz="8" w:color="auto"/>
            </w:tcBorders>
            <w:vMerge w:val="continue"/>
          </w:tcPr>
          <w:p>
            <w:pPr>
              <w:spacing w:after="0"/>
              <w:rPr>
                <w:sz w:val="9"/>
                <w:szCs w:val="9"/>
                <w:color w:val="auto"/>
              </w:rPr>
            </w:pPr>
          </w:p>
        </w:tc>
        <w:tc>
          <w:tcPr>
            <w:tcW w:w="21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52"/>
        </w:trPr>
        <w:tc>
          <w:tcPr>
            <w:tcW w:w="720" w:type="dxa"/>
            <w:vAlign w:val="bottom"/>
            <w:tcBorders>
              <w:left w:val="single" w:sz="8" w:color="auto"/>
              <w:right w:val="single" w:sz="8" w:color="auto"/>
            </w:tcBorders>
          </w:tcPr>
          <w:p>
            <w:pPr>
              <w:spacing w:after="0"/>
              <w:rPr>
                <w:sz w:val="21"/>
                <w:szCs w:val="21"/>
                <w:color w:val="auto"/>
              </w:rPr>
            </w:pPr>
          </w:p>
        </w:tc>
        <w:tc>
          <w:tcPr>
            <w:tcW w:w="1000" w:type="dxa"/>
            <w:vAlign w:val="bottom"/>
            <w:tcBorders>
              <w:right w:val="single" w:sz="8" w:color="auto"/>
            </w:tcBorders>
          </w:tcPr>
          <w:p>
            <w:pPr>
              <w:spacing w:after="0"/>
              <w:rPr>
                <w:sz w:val="21"/>
                <w:szCs w:val="21"/>
                <w:color w:val="auto"/>
              </w:rPr>
            </w:pPr>
          </w:p>
        </w:tc>
        <w:tc>
          <w:tcPr>
            <w:tcW w:w="2400" w:type="dxa"/>
            <w:vAlign w:val="bottom"/>
            <w:tcBorders>
              <w:right w:val="single" w:sz="8" w:color="auto"/>
            </w:tcBorders>
          </w:tcPr>
          <w:p>
            <w:pPr>
              <w:jc w:val="center"/>
              <w:spacing w:after="0" w:line="238" w:lineRule="exact"/>
              <w:rPr>
                <w:sz w:val="20"/>
                <w:szCs w:val="20"/>
                <w:color w:val="auto"/>
              </w:rPr>
            </w:pPr>
            <w:r>
              <w:rPr>
                <w:rFonts w:ascii="宋体" w:cs="宋体" w:eastAsia="宋体" w:hAnsi="宋体"/>
                <w:sz w:val="20"/>
                <w:szCs w:val="20"/>
                <w:color w:val="auto"/>
                <w:w w:val="99"/>
              </w:rPr>
              <w:t>美国</w:t>
            </w:r>
            <w:r>
              <w:rPr>
                <w:rFonts w:ascii="Times New Roman" w:cs="Times New Roman" w:eastAsia="Times New Roman" w:hAnsi="Times New Roman"/>
                <w:sz w:val="20"/>
                <w:szCs w:val="20"/>
                <w:color w:val="auto"/>
                <w:w w:val="99"/>
              </w:rPr>
              <w:t xml:space="preserve"> Desert King </w:t>
            </w:r>
            <w:r>
              <w:rPr>
                <w:rFonts w:ascii="宋体" w:cs="宋体" w:eastAsia="宋体" w:hAnsi="宋体"/>
                <w:sz w:val="20"/>
                <w:szCs w:val="20"/>
                <w:color w:val="auto"/>
                <w:w w:val="99"/>
              </w:rPr>
              <w:t>国际有</w:t>
            </w:r>
          </w:p>
        </w:tc>
        <w:tc>
          <w:tcPr>
            <w:tcW w:w="1280" w:type="dxa"/>
            <w:vAlign w:val="bottom"/>
            <w:tcBorders>
              <w:right w:val="single" w:sz="8" w:color="auto"/>
            </w:tcBorders>
          </w:tcPr>
          <w:p>
            <w:pPr>
              <w:jc w:val="center"/>
              <w:spacing w:after="0" w:line="244" w:lineRule="exact"/>
              <w:rPr>
                <w:sz w:val="20"/>
                <w:szCs w:val="20"/>
                <w:color w:val="auto"/>
              </w:rPr>
            </w:pPr>
            <w:r>
              <w:rPr>
                <w:rFonts w:ascii="宋体" w:cs="宋体" w:eastAsia="宋体" w:hAnsi="宋体"/>
                <w:sz w:val="20"/>
                <w:szCs w:val="20"/>
                <w:color w:val="auto"/>
                <w:w w:val="99"/>
              </w:rPr>
              <w:t>惠康宝</w:t>
            </w:r>
            <w:r>
              <w:rPr>
                <w:rFonts w:ascii="Times New Roman" w:cs="Times New Roman" w:eastAsia="Times New Roman" w:hAnsi="Times New Roman"/>
                <w:sz w:val="20"/>
                <w:szCs w:val="20"/>
                <w:color w:val="auto"/>
                <w:w w:val="99"/>
              </w:rPr>
              <w:t>-30</w:t>
            </w: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7"/>
              </w:rPr>
              <w:t>饲料添加剂</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天然类固醇萨洒皂角</w:t>
            </w:r>
          </w:p>
        </w:tc>
        <w:tc>
          <w:tcPr>
            <w:tcW w:w="0" w:type="dxa"/>
            <w:vAlign w:val="bottom"/>
          </w:tcPr>
          <w:p>
            <w:pPr>
              <w:spacing w:after="0"/>
              <w:rPr>
                <w:sz w:val="1"/>
                <w:szCs w:val="1"/>
                <w:color w:val="auto"/>
              </w:rPr>
            </w:pPr>
          </w:p>
        </w:tc>
      </w:tr>
      <w:tr>
        <w:trPr>
          <w:trHeight w:val="238"/>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7</w:t>
            </w:r>
          </w:p>
        </w:tc>
        <w:tc>
          <w:tcPr>
            <w:tcW w:w="1000" w:type="dxa"/>
            <w:vAlign w:val="bottom"/>
            <w:tcBorders>
              <w:right w:val="single" w:sz="8" w:color="auto"/>
            </w:tcBorders>
          </w:tcPr>
          <w:p>
            <w:pPr>
              <w:spacing w:after="0"/>
              <w:rPr>
                <w:sz w:val="20"/>
                <w:szCs w:val="20"/>
                <w:color w:val="auto"/>
              </w:rPr>
            </w:pPr>
          </w:p>
        </w:tc>
        <w:tc>
          <w:tcPr>
            <w:tcW w:w="240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限公司</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DK</w:t>
            </w:r>
          </w:p>
        </w:tc>
        <w:tc>
          <w:tcPr>
            <w:tcW w:w="1840" w:type="dxa"/>
            <w:vAlign w:val="bottom"/>
            <w:tcBorders>
              <w:right w:val="single" w:sz="8" w:color="auto"/>
            </w:tcBorders>
          </w:tcPr>
          <w:p>
            <w:pPr>
              <w:jc w:val="center"/>
              <w:spacing w:after="0" w:line="223" w:lineRule="exact"/>
              <w:rPr>
                <w:sz w:val="20"/>
                <w:szCs w:val="20"/>
                <w:color w:val="auto"/>
              </w:rPr>
            </w:pPr>
            <w:r>
              <w:rPr>
                <w:rFonts w:ascii="Times New Roman" w:cs="Times New Roman" w:eastAsia="Times New Roman" w:hAnsi="Times New Roman"/>
                <w:sz w:val="20"/>
                <w:szCs w:val="20"/>
                <w:color w:val="auto"/>
              </w:rPr>
              <w:t>Feed Additive</w:t>
            </w:r>
          </w:p>
        </w:tc>
        <w:tc>
          <w:tcPr>
            <w:tcW w:w="21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苷（源自丝兰）</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Desert King International</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sarsaponin-</w:t>
            </w:r>
          </w:p>
        </w:tc>
        <w:tc>
          <w:tcPr>
            <w:tcW w:w="1840" w:type="dxa"/>
            <w:vAlign w:val="bottom"/>
            <w:tcBorders>
              <w:right w:val="single" w:sz="8" w:color="auto"/>
            </w:tcBorders>
            <w:vMerge w:val="restart"/>
          </w:tcPr>
          <w:p>
            <w:pPr>
              <w:jc w:val="center"/>
              <w:spacing w:after="0" w:line="224" w:lineRule="exact"/>
              <w:rPr>
                <w:sz w:val="20"/>
                <w:szCs w:val="20"/>
                <w:color w:val="auto"/>
              </w:rPr>
            </w:pPr>
            <w:r>
              <w:rPr>
                <w:rFonts w:ascii="宋体" w:cs="宋体" w:eastAsia="宋体" w:hAnsi="宋体"/>
                <w:sz w:val="20"/>
                <w:szCs w:val="20"/>
                <w:color w:val="auto"/>
                <w:w w:val="97"/>
              </w:rPr>
              <w:t>家禽和猪</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Yucca (Yucca</w:t>
            </w:r>
          </w:p>
        </w:tc>
        <w:tc>
          <w:tcPr>
            <w:tcW w:w="0" w:type="dxa"/>
            <w:vAlign w:val="bottom"/>
          </w:tcPr>
          <w:p>
            <w:pPr>
              <w:spacing w:after="0"/>
              <w:rPr>
                <w:sz w:val="1"/>
                <w:szCs w:val="1"/>
                <w:color w:val="auto"/>
              </w:rPr>
            </w:pPr>
          </w:p>
        </w:tc>
      </w:tr>
      <w:tr>
        <w:trPr>
          <w:trHeight w:val="141"/>
        </w:trPr>
        <w:tc>
          <w:tcPr>
            <w:tcW w:w="720" w:type="dxa"/>
            <w:vAlign w:val="bottom"/>
            <w:tcBorders>
              <w:left w:val="single" w:sz="8" w:color="auto"/>
              <w:right w:val="single" w:sz="8" w:color="auto"/>
            </w:tcBorders>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128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continue"/>
          </w:tcPr>
          <w:p>
            <w:pPr>
              <w:spacing w:after="0"/>
              <w:rPr>
                <w:sz w:val="12"/>
                <w:szCs w:val="12"/>
                <w:color w:val="auto"/>
              </w:rPr>
            </w:pPr>
          </w:p>
        </w:tc>
        <w:tc>
          <w:tcPr>
            <w:tcW w:w="21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38"/>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2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Inc., USA</w:t>
            </w:r>
          </w:p>
        </w:tc>
        <w:tc>
          <w:tcPr>
            <w:tcW w:w="1280" w:type="dxa"/>
            <w:vAlign w:val="bottom"/>
            <w:tcBorders>
              <w:bottom w:val="single" w:sz="8" w:color="auto"/>
              <w:right w:val="single" w:sz="8" w:color="auto"/>
            </w:tcBorders>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30</w:t>
            </w: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(Poultry and Swine)</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Schidigera) Extract</w:t>
            </w:r>
          </w:p>
        </w:tc>
        <w:tc>
          <w:tcPr>
            <w:tcW w:w="0" w:type="dxa"/>
            <w:vAlign w:val="bottom"/>
          </w:tcPr>
          <w:p>
            <w:pPr>
              <w:spacing w:after="0"/>
              <w:rPr>
                <w:sz w:val="1"/>
                <w:szCs w:val="1"/>
                <w:color w:val="auto"/>
              </w:rPr>
            </w:pPr>
          </w:p>
        </w:tc>
      </w:tr>
      <w:tr>
        <w:trPr>
          <w:trHeight w:val="238"/>
        </w:trPr>
        <w:tc>
          <w:tcPr>
            <w:tcW w:w="720" w:type="dxa"/>
            <w:vAlign w:val="bottom"/>
            <w:tcBorders>
              <w:left w:val="single" w:sz="8" w:color="auto"/>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美国福蓝迪他生物集团</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益加</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8"/>
              </w:rPr>
              <w:t>混合型饲料添加剂</w:t>
            </w:r>
          </w:p>
        </w:tc>
        <w:tc>
          <w:tcPr>
            <w:tcW w:w="21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微生物</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有限公司</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Additives</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8</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Super DFM</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Mixed Feed</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Frondita Biogroup, Inc.,</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Mixture</w:t>
            </w:r>
          </w:p>
        </w:tc>
        <w:tc>
          <w:tcPr>
            <w:tcW w:w="0" w:type="dxa"/>
            <w:vAlign w:val="bottom"/>
          </w:tcPr>
          <w:p>
            <w:pPr>
              <w:spacing w:after="0"/>
              <w:rPr>
                <w:sz w:val="1"/>
                <w:szCs w:val="1"/>
                <w:color w:val="auto"/>
              </w:rPr>
            </w:pPr>
          </w:p>
        </w:tc>
      </w:tr>
      <w:tr>
        <w:trPr>
          <w:trHeight w:val="127"/>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Plus</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Additive</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4"/>
        </w:trPr>
        <w:tc>
          <w:tcPr>
            <w:tcW w:w="720" w:type="dxa"/>
            <w:vAlign w:val="bottom"/>
            <w:tcBorders>
              <w:left w:val="single" w:sz="8" w:color="auto"/>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USA</w:t>
            </w:r>
          </w:p>
        </w:tc>
        <w:tc>
          <w:tcPr>
            <w:tcW w:w="1280" w:type="dxa"/>
            <w:vAlign w:val="bottom"/>
            <w:tcBorders>
              <w:right w:val="single" w:sz="8" w:color="auto"/>
            </w:tcBorders>
            <w:vMerge w:val="continue"/>
          </w:tcPr>
          <w:p>
            <w:pPr>
              <w:spacing w:after="0"/>
              <w:rPr>
                <w:sz w:val="9"/>
                <w:szCs w:val="9"/>
                <w:color w:val="auto"/>
              </w:rPr>
            </w:pPr>
          </w:p>
        </w:tc>
        <w:tc>
          <w:tcPr>
            <w:tcW w:w="1840" w:type="dxa"/>
            <w:vAlign w:val="bottom"/>
            <w:tcBorders>
              <w:right w:val="single" w:sz="8" w:color="auto"/>
            </w:tcBorders>
            <w:vMerge w:val="continue"/>
          </w:tcPr>
          <w:p>
            <w:pPr>
              <w:spacing w:after="0"/>
              <w:rPr>
                <w:sz w:val="9"/>
                <w:szCs w:val="9"/>
                <w:color w:val="auto"/>
              </w:rPr>
            </w:pPr>
          </w:p>
        </w:tc>
        <w:tc>
          <w:tcPr>
            <w:tcW w:w="2140" w:type="dxa"/>
            <w:vAlign w:val="bottom"/>
            <w:tcBorders>
              <w:right w:val="single" w:sz="8" w:color="auto"/>
            </w:tcBorders>
            <w:vMerge w:val="restart"/>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Live Microorganisms</w:t>
            </w: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vMerge w:val="continue"/>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金乳</w:t>
            </w: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7"/>
              </w:rPr>
              <w:t>蛋白饲料</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奶粉与奶酪</w:t>
            </w:r>
          </w:p>
        </w:tc>
        <w:tc>
          <w:tcPr>
            <w:tcW w:w="0" w:type="dxa"/>
            <w:vAlign w:val="bottom"/>
          </w:tcPr>
          <w:p>
            <w:pPr>
              <w:spacing w:after="0"/>
              <w:rPr>
                <w:sz w:val="1"/>
                <w:szCs w:val="1"/>
                <w:color w:val="auto"/>
              </w:rPr>
            </w:pPr>
          </w:p>
        </w:tc>
      </w:tr>
      <w:tr>
        <w:trPr>
          <w:trHeight w:val="252"/>
        </w:trPr>
        <w:tc>
          <w:tcPr>
            <w:tcW w:w="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9</w:t>
            </w:r>
          </w:p>
        </w:tc>
        <w:tc>
          <w:tcPr>
            <w:tcW w:w="1000" w:type="dxa"/>
            <w:vAlign w:val="bottom"/>
            <w:tcBorders>
              <w:right w:val="single" w:sz="8" w:color="auto"/>
            </w:tcBorders>
          </w:tcPr>
          <w:p>
            <w:pPr>
              <w:spacing w:after="0"/>
              <w:rPr>
                <w:sz w:val="21"/>
                <w:szCs w:val="21"/>
                <w:color w:val="auto"/>
              </w:rPr>
            </w:pPr>
          </w:p>
        </w:tc>
        <w:tc>
          <w:tcPr>
            <w:tcW w:w="24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Gold Star</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Protein feed (Piglet</w:t>
            </w:r>
          </w:p>
        </w:tc>
        <w:tc>
          <w:tcPr>
            <w:tcW w:w="21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Dried Milk and Dried</w:t>
            </w:r>
          </w:p>
        </w:tc>
        <w:tc>
          <w:tcPr>
            <w:tcW w:w="0" w:type="dxa"/>
            <w:vAlign w:val="bottom"/>
          </w:tcPr>
          <w:p>
            <w:pPr>
              <w:spacing w:after="0"/>
              <w:rPr>
                <w:sz w:val="1"/>
                <w:szCs w:val="1"/>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2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7"/>
              </w:rPr>
              <w:t>Milk</w:t>
            </w: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and Calf)</w:t>
            </w:r>
          </w:p>
        </w:tc>
        <w:tc>
          <w:tcPr>
            <w:tcW w:w="21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Cheese</w:t>
            </w: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五星宝</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能量饲料</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糖类食品副产品</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Sugar Foods By-</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10</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Five Star</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Energy Feed</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Product</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Booster</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(Piglets)</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(Carbohydrates)</w:t>
            </w:r>
          </w:p>
        </w:tc>
        <w:tc>
          <w:tcPr>
            <w:tcW w:w="0" w:type="dxa"/>
            <w:vAlign w:val="bottom"/>
          </w:tcPr>
          <w:p>
            <w:pPr>
              <w:spacing w:after="0"/>
              <w:rPr>
                <w:sz w:val="1"/>
                <w:szCs w:val="1"/>
                <w:color w:val="auto"/>
              </w:rPr>
            </w:pPr>
          </w:p>
        </w:tc>
      </w:tr>
      <w:tr>
        <w:trPr>
          <w:trHeight w:val="119"/>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7"/>
              </w:rPr>
              <w:t>蛋白质饲料</w:t>
            </w:r>
          </w:p>
        </w:tc>
        <w:tc>
          <w:tcPr>
            <w:tcW w:w="2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2"/>
        </w:trPr>
        <w:tc>
          <w:tcPr>
            <w:tcW w:w="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11</w:t>
            </w:r>
          </w:p>
        </w:tc>
        <w:tc>
          <w:tcPr>
            <w:tcW w:w="1000" w:type="dxa"/>
            <w:vAlign w:val="bottom"/>
            <w:tcBorders>
              <w:right w:val="single" w:sz="8" w:color="auto"/>
            </w:tcBorders>
          </w:tcPr>
          <w:p>
            <w:pPr>
              <w:spacing w:after="0"/>
              <w:rPr>
                <w:sz w:val="21"/>
                <w:szCs w:val="21"/>
                <w:color w:val="auto"/>
              </w:rPr>
            </w:pPr>
          </w:p>
        </w:tc>
        <w:tc>
          <w:tcPr>
            <w:tcW w:w="240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营养金奶粉</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Protein Feed</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干奶粉</w:t>
            </w:r>
          </w:p>
        </w:tc>
        <w:tc>
          <w:tcPr>
            <w:tcW w:w="0" w:type="dxa"/>
            <w:vAlign w:val="bottom"/>
          </w:tcPr>
          <w:p>
            <w:pPr>
              <w:spacing w:after="0"/>
              <w:rPr>
                <w:sz w:val="1"/>
                <w:szCs w:val="1"/>
                <w:color w:val="auto"/>
              </w:rPr>
            </w:pPr>
          </w:p>
        </w:tc>
      </w:tr>
      <w:tr>
        <w:trPr>
          <w:trHeight w:val="94"/>
        </w:trPr>
        <w:tc>
          <w:tcPr>
            <w:tcW w:w="720" w:type="dxa"/>
            <w:vAlign w:val="bottom"/>
            <w:tcBorders>
              <w:left w:val="single" w:sz="8" w:color="auto"/>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8"/>
                <w:szCs w:val="8"/>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(Livestock,</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Nutri-Gold</w:t>
            </w: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Dried Milk Powder</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w w:val="99"/>
              </w:rPr>
              <w:t>aquaculture and</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720" w:type="dxa"/>
            <w:vAlign w:val="bottom"/>
            <w:tcBorders>
              <w:left w:val="single" w:sz="8" w:color="auto"/>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400" w:type="dxa"/>
            <w:vAlign w:val="bottom"/>
            <w:tcBorders>
              <w:right w:val="single" w:sz="8" w:color="auto"/>
            </w:tcBorders>
            <w:vMerge w:val="continue"/>
          </w:tcPr>
          <w:p>
            <w:pPr>
              <w:spacing w:after="0"/>
              <w:rPr>
                <w:sz w:val="9"/>
                <w:szCs w:val="9"/>
                <w:color w:val="auto"/>
              </w:rPr>
            </w:pPr>
          </w:p>
        </w:tc>
        <w:tc>
          <w:tcPr>
            <w:tcW w:w="1280" w:type="dxa"/>
            <w:vAlign w:val="bottom"/>
            <w:tcBorders>
              <w:right w:val="single" w:sz="8" w:color="auto"/>
            </w:tcBorders>
          </w:tcPr>
          <w:p>
            <w:pPr>
              <w:spacing w:after="0"/>
              <w:rPr>
                <w:sz w:val="9"/>
                <w:szCs w:val="9"/>
                <w:color w:val="auto"/>
              </w:rPr>
            </w:pPr>
          </w:p>
        </w:tc>
        <w:tc>
          <w:tcPr>
            <w:tcW w:w="1840" w:type="dxa"/>
            <w:vAlign w:val="bottom"/>
            <w:tcBorders>
              <w:right w:val="single" w:sz="8" w:color="auto"/>
            </w:tcBorders>
            <w:vMerge w:val="continue"/>
          </w:tcPr>
          <w:p>
            <w:pPr>
              <w:spacing w:after="0"/>
              <w:rPr>
                <w:sz w:val="9"/>
                <w:szCs w:val="9"/>
                <w:color w:val="auto"/>
              </w:rPr>
            </w:pPr>
          </w:p>
        </w:tc>
        <w:tc>
          <w:tcPr>
            <w:tcW w:w="2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2400" w:type="dxa"/>
            <w:vAlign w:val="bottom"/>
            <w:tcBorders>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6"/>
              </w:rPr>
              <w:t>pet)</w:t>
            </w:r>
          </w:p>
        </w:tc>
        <w:tc>
          <w:tcPr>
            <w:tcW w:w="2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3-41</w:t>
      </w:r>
    </w:p>
    <w:p>
      <w:pPr>
        <w:sectPr>
          <w:pgSz w:w="12240" w:h="15840" w:orient="portrait"/>
          <w:cols w:equalWidth="0" w:num="1">
            <w:col w:w="9440"/>
          </w:cols>
          <w:pgMar w:left="1360" w:top="1440" w:right="1440" w:bottom="439" w:gutter="0" w:footer="0" w:header="0"/>
        </w:sectPr>
      </w:pPr>
    </w:p>
    <w:bookmarkStart w:id="63" w:name="page64"/>
    <w:bookmarkEnd w:id="63"/>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tbl>
      <w:tblPr>
        <w:tblLayout w:type="fixed"/>
        <w:tblInd w:w="10" w:type="dxa"/>
        <w:tblCellMar>
          <w:top w:w="0" w:type="dxa"/>
          <w:left w:w="0" w:type="dxa"/>
          <w:bottom w:w="0" w:type="dxa"/>
          <w:right w:w="0" w:type="dxa"/>
        </w:tblCellMar>
      </w:tblPr>
      <w:tr>
        <w:trPr>
          <w:trHeight w:val="253"/>
        </w:trPr>
        <w:tc>
          <w:tcPr>
            <w:tcW w:w="720" w:type="dxa"/>
            <w:vAlign w:val="bottom"/>
            <w:tcBorders>
              <w:top w:val="single" w:sz="8" w:color="auto"/>
              <w:left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40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6"/>
              </w:rPr>
              <w:t>奇饲粉</w:t>
            </w:r>
          </w:p>
        </w:tc>
        <w:tc>
          <w:tcPr>
            <w:tcW w:w="1840" w:type="dxa"/>
            <w:vAlign w:val="bottom"/>
            <w:tcBorders>
              <w:top w:val="single" w:sz="8" w:color="auto"/>
              <w:right w:val="single" w:sz="8" w:color="auto"/>
            </w:tcBorders>
          </w:tcPr>
          <w:p>
            <w:pPr>
              <w:jc w:val="center"/>
              <w:spacing w:after="0" w:line="244" w:lineRule="exact"/>
              <w:rPr>
                <w:sz w:val="20"/>
                <w:szCs w:val="20"/>
                <w:color w:val="auto"/>
              </w:rPr>
            </w:pPr>
            <w:r>
              <w:rPr>
                <w:rFonts w:ascii="宋体" w:cs="宋体" w:eastAsia="宋体" w:hAnsi="宋体"/>
                <w:sz w:val="20"/>
                <w:szCs w:val="20"/>
                <w:color w:val="auto"/>
                <w:w w:val="99"/>
              </w:rPr>
              <w:t>能量饲料</w:t>
            </w:r>
            <w:r>
              <w:rPr>
                <w:rFonts w:ascii="Times New Roman" w:cs="Times New Roman" w:eastAsia="Times New Roman" w:hAnsi="Times New Roman"/>
                <w:sz w:val="20"/>
                <w:szCs w:val="20"/>
                <w:color w:val="auto"/>
                <w:w w:val="99"/>
              </w:rPr>
              <w:t xml:space="preserve"> Energy</w:t>
            </w:r>
          </w:p>
        </w:tc>
        <w:tc>
          <w:tcPr>
            <w:tcW w:w="214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干奶酪产品</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vMerge w:val="restart"/>
          </w:tcPr>
          <w:p>
            <w:pPr>
              <w:jc w:val="right"/>
              <w:ind w:right="160"/>
              <w:spacing w:after="0" w:line="223" w:lineRule="exact"/>
              <w:rPr>
                <w:sz w:val="20"/>
                <w:szCs w:val="20"/>
                <w:color w:val="auto"/>
              </w:rPr>
            </w:pPr>
            <w:r>
              <w:rPr>
                <w:rFonts w:ascii="Times New Roman" w:cs="Times New Roman" w:eastAsia="Times New Roman" w:hAnsi="Times New Roman"/>
                <w:sz w:val="20"/>
                <w:szCs w:val="20"/>
                <w:color w:val="auto"/>
              </w:rPr>
              <w:t>12</w:t>
            </w: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Cheese Plus</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Feed (Swine and</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Dried Cheese Product</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Cheese</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calf)</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vMerge w:val="continue"/>
          </w:tcPr>
          <w:p>
            <w:pPr>
              <w:spacing w:after="0"/>
              <w:rPr>
                <w:sz w:val="10"/>
                <w:szCs w:val="10"/>
                <w:color w:val="auto"/>
              </w:rPr>
            </w:pPr>
          </w:p>
        </w:tc>
        <w:tc>
          <w:tcPr>
            <w:tcW w:w="1840" w:type="dxa"/>
            <w:vAlign w:val="bottom"/>
            <w:tcBorders>
              <w:bottom w:val="single" w:sz="8" w:color="auto"/>
              <w:right w:val="single" w:sz="8" w:color="auto"/>
            </w:tcBorders>
            <w:vMerge w:val="continue"/>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8"/>
        </w:trPr>
        <w:tc>
          <w:tcPr>
            <w:tcW w:w="720" w:type="dxa"/>
            <w:vAlign w:val="bottom"/>
            <w:tcBorders>
              <w:left w:val="single" w:sz="8" w:color="auto"/>
              <w:right w:val="single" w:sz="8" w:color="auto"/>
            </w:tcBorders>
          </w:tcPr>
          <w:p>
            <w:pPr>
              <w:spacing w:after="0"/>
              <w:rPr>
                <w:sz w:val="20"/>
                <w:szCs w:val="20"/>
                <w:color w:val="auto"/>
              </w:rPr>
            </w:pPr>
          </w:p>
        </w:tc>
        <w:tc>
          <w:tcPr>
            <w:tcW w:w="1000" w:type="dxa"/>
            <w:vAlign w:val="bottom"/>
            <w:tcBorders>
              <w:right w:val="single" w:sz="8" w:color="auto"/>
            </w:tcBorders>
          </w:tcPr>
          <w:p>
            <w:pPr>
              <w:spacing w:after="0"/>
              <w:rPr>
                <w:sz w:val="20"/>
                <w:szCs w:val="20"/>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6"/>
              </w:rPr>
              <w:t>巧饲粉</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能量饲料</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巧克力糖和巧克力牛</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Milk</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奶巧饲粉</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13</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Energy Feed</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Chocolate</w:t>
            </w: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Chocolate Candy &amp;</w:t>
            </w:r>
          </w:p>
        </w:tc>
        <w:tc>
          <w:tcPr>
            <w:tcW w:w="0" w:type="dxa"/>
            <w:vAlign w:val="bottom"/>
          </w:tcPr>
          <w:p>
            <w:pPr>
              <w:spacing w:after="0"/>
              <w:rPr>
                <w:sz w:val="1"/>
                <w:szCs w:val="1"/>
                <w:color w:val="auto"/>
              </w:rPr>
            </w:pPr>
          </w:p>
        </w:tc>
      </w:tr>
      <w:tr>
        <w:trPr>
          <w:trHeight w:val="126"/>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(Swine and calf)</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04"/>
        </w:trPr>
        <w:tc>
          <w:tcPr>
            <w:tcW w:w="720" w:type="dxa"/>
            <w:vAlign w:val="bottom"/>
            <w:tcBorders>
              <w:left w:val="single" w:sz="8" w:color="auto"/>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400" w:type="dxa"/>
            <w:vAlign w:val="bottom"/>
            <w:tcBorders>
              <w:right w:val="single" w:sz="8" w:color="auto"/>
            </w:tcBorders>
            <w:vMerge w:val="continue"/>
          </w:tcPr>
          <w:p>
            <w:pPr>
              <w:spacing w:after="0"/>
              <w:rPr>
                <w:sz w:val="9"/>
                <w:szCs w:val="9"/>
                <w:color w:val="auto"/>
              </w:rPr>
            </w:pPr>
          </w:p>
        </w:tc>
        <w:tc>
          <w:tcPr>
            <w:tcW w:w="1280" w:type="dxa"/>
            <w:vAlign w:val="bottom"/>
            <w:tcBorders>
              <w:right w:val="single" w:sz="8" w:color="auto"/>
            </w:tcBorders>
            <w:vMerge w:val="restart"/>
          </w:tcPr>
          <w:p>
            <w:pPr>
              <w:jc w:val="center"/>
              <w:spacing w:after="0" w:line="219" w:lineRule="exact"/>
              <w:rPr>
                <w:sz w:val="20"/>
                <w:szCs w:val="20"/>
                <w:color w:val="auto"/>
              </w:rPr>
            </w:pPr>
            <w:r>
              <w:rPr>
                <w:rFonts w:ascii="Times New Roman" w:cs="Times New Roman" w:eastAsia="Times New Roman" w:hAnsi="Times New Roman"/>
                <w:sz w:val="20"/>
                <w:szCs w:val="20"/>
                <w:color w:val="auto"/>
                <w:w w:val="99"/>
              </w:rPr>
              <w:t>Product</w:t>
            </w:r>
          </w:p>
        </w:tc>
        <w:tc>
          <w:tcPr>
            <w:tcW w:w="1840" w:type="dxa"/>
            <w:vAlign w:val="bottom"/>
            <w:tcBorders>
              <w:right w:val="single" w:sz="8" w:color="auto"/>
            </w:tcBorders>
            <w:vMerge w:val="continue"/>
          </w:tcPr>
          <w:p>
            <w:pPr>
              <w:spacing w:after="0"/>
              <w:rPr>
                <w:sz w:val="9"/>
                <w:szCs w:val="9"/>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Dried Chocolate Milk</w:t>
            </w: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vMerge w:val="continue"/>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7"/>
              </w:rPr>
              <w:t>蛋白质饲料</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奶酪乳清</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乳清宝</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Protein Feed</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Whey and by-product,</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14</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CW-11</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(Piglet, pet and</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Lactose and Whey</w:t>
            </w:r>
          </w:p>
        </w:tc>
        <w:tc>
          <w:tcPr>
            <w:tcW w:w="0" w:type="dxa"/>
            <w:vAlign w:val="bottom"/>
          </w:tcPr>
          <w:p>
            <w:pPr>
              <w:spacing w:after="0"/>
              <w:rPr>
                <w:sz w:val="1"/>
                <w:szCs w:val="1"/>
                <w:color w:val="auto"/>
              </w:rPr>
            </w:pPr>
          </w:p>
        </w:tc>
      </w:tr>
      <w:tr>
        <w:trPr>
          <w:trHeight w:val="116"/>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Aquaculture)</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Protein</w:t>
            </w:r>
          </w:p>
        </w:tc>
        <w:tc>
          <w:tcPr>
            <w:tcW w:w="0" w:type="dxa"/>
            <w:vAlign w:val="bottom"/>
          </w:tcPr>
          <w:p>
            <w:pPr>
              <w:spacing w:after="0"/>
              <w:rPr>
                <w:sz w:val="1"/>
                <w:szCs w:val="1"/>
                <w:color w:val="auto"/>
              </w:rPr>
            </w:pPr>
          </w:p>
        </w:tc>
      </w:tr>
      <w:tr>
        <w:trPr>
          <w:trHeight w:val="118"/>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vMerge w:val="continue"/>
          </w:tcPr>
          <w:p>
            <w:pPr>
              <w:spacing w:after="0"/>
              <w:rPr>
                <w:sz w:val="10"/>
                <w:szCs w:val="10"/>
                <w:color w:val="auto"/>
              </w:rPr>
            </w:pPr>
          </w:p>
        </w:tc>
        <w:tc>
          <w:tcPr>
            <w:tcW w:w="21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5"/>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jc w:val="center"/>
              <w:spacing w:after="0" w:line="225" w:lineRule="exact"/>
              <w:rPr>
                <w:sz w:val="20"/>
                <w:szCs w:val="20"/>
                <w:color w:val="auto"/>
              </w:rPr>
            </w:pPr>
            <w:r>
              <w:rPr>
                <w:rFonts w:ascii="宋体" w:cs="宋体" w:eastAsia="宋体" w:hAnsi="宋体"/>
                <w:sz w:val="20"/>
                <w:szCs w:val="20"/>
                <w:color w:val="auto"/>
                <w:w w:val="96"/>
              </w:rPr>
              <w:t>奇能佳</w:t>
            </w:r>
          </w:p>
        </w:tc>
        <w:tc>
          <w:tcPr>
            <w:tcW w:w="2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奇饲粉</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Protein Feed</w:t>
            </w:r>
          </w:p>
        </w:tc>
        <w:tc>
          <w:tcPr>
            <w:tcW w:w="2140" w:type="dxa"/>
            <w:vAlign w:val="bottom"/>
            <w:tcBorders>
              <w:right w:val="single" w:sz="8" w:color="auto"/>
            </w:tcBorders>
            <w:vMerge w:val="restart"/>
          </w:tcPr>
          <w:p>
            <w:pPr>
              <w:jc w:val="center"/>
              <w:spacing w:after="0" w:line="242" w:lineRule="exact"/>
              <w:rPr>
                <w:sz w:val="20"/>
                <w:szCs w:val="20"/>
                <w:color w:val="auto"/>
              </w:rPr>
            </w:pPr>
            <w:r>
              <w:rPr>
                <w:rFonts w:ascii="宋体" w:cs="宋体" w:eastAsia="宋体" w:hAnsi="宋体"/>
                <w:sz w:val="20"/>
                <w:szCs w:val="20"/>
                <w:color w:val="auto"/>
                <w:w w:val="99"/>
              </w:rPr>
              <w:t>奶酪粉和大豆粉</w:t>
            </w:r>
            <w:r>
              <w:rPr>
                <w:rFonts w:ascii="Times New Roman" w:cs="Times New Roman" w:eastAsia="Times New Roman" w:hAnsi="Times New Roman"/>
                <w:sz w:val="20"/>
                <w:szCs w:val="20"/>
                <w:color w:val="auto"/>
                <w:w w:val="99"/>
              </w:rPr>
              <w:t xml:space="preserve"> Dried</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15</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AF-35</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(Piglet, pet and</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Cheese and Soy Flour</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3"/>
        </w:trPr>
        <w:tc>
          <w:tcPr>
            <w:tcW w:w="720" w:type="dxa"/>
            <w:vAlign w:val="bottom"/>
            <w:tcBorders>
              <w:left w:val="single" w:sz="8" w:color="auto"/>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400" w:type="dxa"/>
            <w:vAlign w:val="bottom"/>
            <w:tcBorders>
              <w:right w:val="single" w:sz="8" w:color="auto"/>
            </w:tcBorders>
            <w:vMerge w:val="continue"/>
          </w:tcPr>
          <w:p>
            <w:pPr>
              <w:spacing w:after="0"/>
              <w:rPr>
                <w:sz w:val="9"/>
                <w:szCs w:val="9"/>
                <w:color w:val="auto"/>
              </w:rPr>
            </w:pPr>
          </w:p>
        </w:tc>
        <w:tc>
          <w:tcPr>
            <w:tcW w:w="1280" w:type="dxa"/>
            <w:vAlign w:val="bottom"/>
            <w:tcBorders>
              <w:right w:val="single" w:sz="8" w:color="auto"/>
            </w:tcBorders>
          </w:tcPr>
          <w:p>
            <w:pPr>
              <w:spacing w:after="0"/>
              <w:rPr>
                <w:sz w:val="9"/>
                <w:szCs w:val="9"/>
                <w:color w:val="auto"/>
              </w:rPr>
            </w:pPr>
          </w:p>
        </w:tc>
        <w:tc>
          <w:tcPr>
            <w:tcW w:w="184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rPr>
              <w:t>Aquaculture)</w:t>
            </w:r>
          </w:p>
        </w:tc>
        <w:tc>
          <w:tcPr>
            <w:tcW w:w="21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9"/>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vMerge w:val="continue"/>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谷物和糖类食品副产</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宝宝派</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饲料添加剂</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品</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16</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Carbo-Pal</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cereal  food and sugar</w:t>
            </w:r>
          </w:p>
        </w:tc>
        <w:tc>
          <w:tcPr>
            <w:tcW w:w="0" w:type="dxa"/>
            <w:vAlign w:val="bottom"/>
          </w:tcPr>
          <w:p>
            <w:pPr>
              <w:spacing w:after="0"/>
              <w:rPr>
                <w:sz w:val="1"/>
                <w:szCs w:val="1"/>
                <w:color w:val="auto"/>
              </w:rPr>
            </w:pPr>
          </w:p>
        </w:tc>
      </w:tr>
      <w:tr>
        <w:trPr>
          <w:trHeight w:val="132"/>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98"/>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tcPr>
          <w:p>
            <w:pPr>
              <w:spacing w:after="0"/>
              <w:rPr>
                <w:sz w:val="8"/>
                <w:szCs w:val="8"/>
                <w:color w:val="auto"/>
              </w:rPr>
            </w:pPr>
          </w:p>
        </w:tc>
        <w:tc>
          <w:tcPr>
            <w:tcW w:w="184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vMerge w:val="restart"/>
          </w:tcPr>
          <w:p>
            <w:pPr>
              <w:jc w:val="center"/>
              <w:spacing w:after="0" w:line="228" w:lineRule="exact"/>
              <w:rPr>
                <w:sz w:val="20"/>
                <w:szCs w:val="20"/>
                <w:color w:val="auto"/>
              </w:rPr>
            </w:pPr>
            <w:r>
              <w:rPr>
                <w:rFonts w:ascii="Times New Roman" w:cs="Times New Roman" w:eastAsia="Times New Roman" w:hAnsi="Times New Roman"/>
                <w:sz w:val="20"/>
                <w:szCs w:val="20"/>
                <w:color w:val="auto"/>
                <w:w w:val="99"/>
              </w:rPr>
              <w:t>foods by-products</w:t>
            </w: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营养派</w:t>
            </w: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7"/>
              </w:rPr>
              <w:t>蛋白饲料</w:t>
            </w:r>
          </w:p>
        </w:tc>
        <w:tc>
          <w:tcPr>
            <w:tcW w:w="21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奶粉与酵母硒</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17</w:t>
            </w: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Protein feed</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Milk Product and</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Nutri-Pal</w:t>
            </w: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7"/>
              </w:rPr>
              <w:t>(Swine)</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Brewers Dried Yeast</w:t>
            </w:r>
          </w:p>
        </w:tc>
        <w:tc>
          <w:tcPr>
            <w:tcW w:w="0" w:type="dxa"/>
            <w:vAlign w:val="bottom"/>
          </w:tcPr>
          <w:p>
            <w:pPr>
              <w:spacing w:after="0"/>
              <w:rPr>
                <w:sz w:val="1"/>
                <w:szCs w:val="1"/>
                <w:color w:val="auto"/>
              </w:rPr>
            </w:pPr>
          </w:p>
        </w:tc>
      </w:tr>
      <w:tr>
        <w:trPr>
          <w:trHeight w:val="120"/>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vMerge w:val="continue"/>
          </w:tcPr>
          <w:p>
            <w:pPr>
              <w:spacing w:after="0"/>
              <w:rPr>
                <w:sz w:val="10"/>
                <w:szCs w:val="10"/>
                <w:color w:val="auto"/>
              </w:rPr>
            </w:pPr>
          </w:p>
        </w:tc>
        <w:tc>
          <w:tcPr>
            <w:tcW w:w="21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美国国际原料公司</w:t>
            </w:r>
          </w:p>
        </w:tc>
        <w:tc>
          <w:tcPr>
            <w:tcW w:w="1280" w:type="dxa"/>
            <w:vAlign w:val="bottom"/>
            <w:tcBorders>
              <w:right w:val="single" w:sz="8" w:color="auto"/>
            </w:tcBorders>
            <w:vMerge w:val="restart"/>
          </w:tcPr>
          <w:p>
            <w:pPr>
              <w:jc w:val="center"/>
              <w:spacing w:after="0" w:line="244" w:lineRule="exact"/>
              <w:rPr>
                <w:sz w:val="20"/>
                <w:szCs w:val="20"/>
                <w:color w:val="auto"/>
              </w:rPr>
            </w:pPr>
            <w:r>
              <w:rPr>
                <w:rFonts w:ascii="宋体" w:cs="宋体" w:eastAsia="宋体" w:hAnsi="宋体"/>
                <w:sz w:val="20"/>
                <w:szCs w:val="20"/>
                <w:color w:val="auto"/>
                <w:w w:val="97"/>
              </w:rPr>
              <w:t>百泰</w:t>
            </w:r>
            <w:r>
              <w:rPr>
                <w:rFonts w:ascii="Times New Roman" w:cs="Times New Roman" w:eastAsia="Times New Roman" w:hAnsi="Times New Roman"/>
                <w:sz w:val="20"/>
                <w:szCs w:val="20"/>
                <w:color w:val="auto"/>
                <w:w w:val="97"/>
              </w:rPr>
              <w:t xml:space="preserve"> A</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饲料添加剂</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酵母硒</w:t>
            </w:r>
          </w:p>
        </w:tc>
        <w:tc>
          <w:tcPr>
            <w:tcW w:w="0" w:type="dxa"/>
            <w:vAlign w:val="bottom"/>
          </w:tcPr>
          <w:p>
            <w:pPr>
              <w:spacing w:after="0"/>
              <w:rPr>
                <w:sz w:val="1"/>
                <w:szCs w:val="1"/>
                <w:color w:val="auto"/>
              </w:rPr>
            </w:pPr>
          </w:p>
        </w:tc>
      </w:tr>
      <w:tr>
        <w:trPr>
          <w:trHeight w:val="129"/>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18</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International Ingredient</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GroBiotic A</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Yeast</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Corporation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9"/>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vMerge w:val="continue"/>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spacing w:after="0"/>
              <w:rPr>
                <w:sz w:val="19"/>
                <w:szCs w:val="19"/>
                <w:color w:val="auto"/>
              </w:rPr>
            </w:pP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8"/>
              </w:rPr>
              <w:t>混合型饲料添加剂</w:t>
            </w:r>
          </w:p>
        </w:tc>
        <w:tc>
          <w:tcPr>
            <w:tcW w:w="2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9"/>
        </w:trPr>
        <w:tc>
          <w:tcPr>
            <w:tcW w:w="720" w:type="dxa"/>
            <w:vAlign w:val="bottom"/>
            <w:tcBorders>
              <w:left w:val="single" w:sz="8" w:color="auto"/>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美国建明工业有限公司</w:t>
            </w:r>
          </w:p>
        </w:tc>
        <w:tc>
          <w:tcPr>
            <w:tcW w:w="1280" w:type="dxa"/>
            <w:vAlign w:val="bottom"/>
            <w:tcBorders>
              <w:right w:val="single" w:sz="8" w:color="auto"/>
            </w:tcBorders>
          </w:tcPr>
          <w:p>
            <w:pPr>
              <w:jc w:val="center"/>
              <w:spacing w:after="0" w:line="244" w:lineRule="exact"/>
              <w:rPr>
                <w:sz w:val="20"/>
                <w:szCs w:val="20"/>
                <w:color w:val="auto"/>
              </w:rPr>
            </w:pPr>
            <w:r>
              <w:rPr>
                <w:rFonts w:ascii="宋体" w:cs="宋体" w:eastAsia="宋体" w:hAnsi="宋体"/>
                <w:sz w:val="20"/>
                <w:szCs w:val="20"/>
                <w:color w:val="auto"/>
              </w:rPr>
              <w:t>微生康锌</w:t>
            </w:r>
            <w:r>
              <w:rPr>
                <w:rFonts w:ascii="Times New Roman" w:cs="Times New Roman" w:eastAsia="Times New Roman" w:hAnsi="Times New Roman"/>
                <w:sz w:val="20"/>
                <w:szCs w:val="20"/>
                <w:color w:val="auto"/>
              </w:rPr>
              <w:t xml:space="preserve"> 27</w:t>
            </w:r>
          </w:p>
        </w:tc>
        <w:tc>
          <w:tcPr>
            <w:tcW w:w="18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6"/>
              </w:rPr>
              <w:t>丙酸锌</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丙酸锌</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粉剂</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Additives</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51"/>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19</w:t>
            </w:r>
          </w:p>
        </w:tc>
        <w:tc>
          <w:tcPr>
            <w:tcW w:w="1000" w:type="dxa"/>
            <w:vAlign w:val="bottom"/>
            <w:tcBorders>
              <w:right w:val="single" w:sz="8" w:color="auto"/>
            </w:tcBorders>
          </w:tcPr>
          <w:p>
            <w:pPr>
              <w:spacing w:after="0"/>
              <w:rPr>
                <w:sz w:val="13"/>
                <w:szCs w:val="13"/>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Kemin Industries, Inc.,</w:t>
            </w:r>
          </w:p>
        </w:tc>
        <w:tc>
          <w:tcPr>
            <w:tcW w:w="128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Zinc Propionate</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KemTRACE</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Mixture Zinc</w:t>
            </w: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USA</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continue"/>
          </w:tcPr>
          <w:p>
            <w:pPr>
              <w:spacing w:after="0"/>
              <w:rPr>
                <w:sz w:val="8"/>
                <w:szCs w:val="8"/>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Zinc 27 Dry</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Propionate (Swine,</w:t>
            </w:r>
          </w:p>
        </w:tc>
        <w:tc>
          <w:tcPr>
            <w:tcW w:w="2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2400" w:type="dxa"/>
            <w:vAlign w:val="bottom"/>
            <w:tcBorders>
              <w:bottom w:val="single" w:sz="8" w:color="auto"/>
              <w:right w:val="single" w:sz="8" w:color="auto"/>
            </w:tcBorders>
          </w:tcPr>
          <w:p>
            <w:pPr>
              <w:spacing w:after="0"/>
              <w:rPr>
                <w:sz w:val="20"/>
                <w:szCs w:val="20"/>
                <w:color w:val="auto"/>
              </w:rPr>
            </w:pPr>
          </w:p>
        </w:tc>
        <w:tc>
          <w:tcPr>
            <w:tcW w:w="1280" w:type="dxa"/>
            <w:vAlign w:val="bottom"/>
            <w:tcBorders>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Ruminent, Poultry)</w:t>
            </w:r>
          </w:p>
        </w:tc>
        <w:tc>
          <w:tcPr>
            <w:tcW w:w="2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拉曼特种益生菌公司</w:t>
            </w: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7"/>
              </w:rPr>
              <w:t>饲料添加剂</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乳酸片球菌</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6"/>
              </w:rPr>
              <w:t>倍特赛</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20</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Lallemand Specialties,</w:t>
            </w: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vMerge w:val="continue"/>
          </w:tcPr>
          <w:p>
            <w:pPr>
              <w:spacing w:after="0"/>
              <w:rPr>
                <w:sz w:val="11"/>
                <w:szCs w:val="11"/>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Pediococcus</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Bactocel</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(Swine, Poultry,</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Inc., USA</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acidilactici</w:t>
            </w:r>
          </w:p>
        </w:tc>
        <w:tc>
          <w:tcPr>
            <w:tcW w:w="0" w:type="dxa"/>
            <w:vAlign w:val="bottom"/>
          </w:tcPr>
          <w:p>
            <w:pPr>
              <w:spacing w:after="0"/>
              <w:rPr>
                <w:sz w:val="1"/>
                <w:szCs w:val="1"/>
                <w:color w:val="auto"/>
              </w:rPr>
            </w:pPr>
          </w:p>
        </w:tc>
      </w:tr>
      <w:tr>
        <w:trPr>
          <w:trHeight w:val="116"/>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color w:val="auto"/>
              </w:rPr>
              <w:t>Aquaculture)</w:t>
            </w: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7"/>
        </w:trPr>
        <w:tc>
          <w:tcPr>
            <w:tcW w:w="720" w:type="dxa"/>
            <w:vAlign w:val="bottom"/>
            <w:tcBorders>
              <w:left w:val="single" w:sz="8" w:color="auto"/>
              <w:bottom w:val="single" w:sz="8" w:color="auto"/>
              <w:right w:val="single" w:sz="8" w:color="auto"/>
            </w:tcBorders>
          </w:tcPr>
          <w:p>
            <w:pPr>
              <w:spacing w:after="0"/>
              <w:rPr>
                <w:sz w:val="10"/>
                <w:szCs w:val="10"/>
                <w:color w:val="auto"/>
              </w:rPr>
            </w:pPr>
          </w:p>
        </w:tc>
        <w:tc>
          <w:tcPr>
            <w:tcW w:w="1000" w:type="dxa"/>
            <w:vAlign w:val="bottom"/>
            <w:tcBorders>
              <w:bottom w:val="single" w:sz="8" w:color="auto"/>
              <w:right w:val="single" w:sz="8" w:color="auto"/>
            </w:tcBorders>
          </w:tcPr>
          <w:p>
            <w:pPr>
              <w:spacing w:after="0"/>
              <w:rPr>
                <w:sz w:val="10"/>
                <w:szCs w:val="10"/>
                <w:color w:val="auto"/>
              </w:rPr>
            </w:pPr>
          </w:p>
        </w:tc>
        <w:tc>
          <w:tcPr>
            <w:tcW w:w="2400" w:type="dxa"/>
            <w:vAlign w:val="bottom"/>
            <w:tcBorders>
              <w:bottom w:val="single" w:sz="8" w:color="auto"/>
              <w:right w:val="single" w:sz="8" w:color="auto"/>
            </w:tcBorders>
          </w:tcPr>
          <w:p>
            <w:pPr>
              <w:spacing w:after="0"/>
              <w:rPr>
                <w:sz w:val="10"/>
                <w:szCs w:val="10"/>
                <w:color w:val="auto"/>
              </w:rPr>
            </w:pPr>
          </w:p>
        </w:tc>
        <w:tc>
          <w:tcPr>
            <w:tcW w:w="128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vMerge w:val="continue"/>
          </w:tcPr>
          <w:p>
            <w:pPr>
              <w:spacing w:after="0"/>
              <w:rPr>
                <w:sz w:val="10"/>
                <w:szCs w:val="10"/>
                <w:color w:val="auto"/>
              </w:rPr>
            </w:pPr>
          </w:p>
        </w:tc>
        <w:tc>
          <w:tcPr>
            <w:tcW w:w="21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美国乐斯福酵母公司乐</w:t>
            </w: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c>
          <w:tcPr>
            <w:tcW w:w="2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720" w:type="dxa"/>
            <w:vAlign w:val="bottom"/>
            <w:tcBorders>
              <w:left w:val="single" w:sz="8" w:color="auto"/>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斯福饲料添加剂</w:t>
            </w:r>
          </w:p>
        </w:tc>
        <w:tc>
          <w:tcPr>
            <w:tcW w:w="1280" w:type="dxa"/>
            <w:vAlign w:val="bottom"/>
            <w:tcBorders>
              <w:right w:val="single" w:sz="8" w:color="auto"/>
            </w:tcBorders>
          </w:tcPr>
          <w:p>
            <w:pPr>
              <w:jc w:val="center"/>
              <w:spacing w:after="0" w:line="244" w:lineRule="exact"/>
              <w:rPr>
                <w:sz w:val="20"/>
                <w:szCs w:val="20"/>
                <w:color w:val="auto"/>
              </w:rPr>
            </w:pPr>
            <w:r>
              <w:rPr>
                <w:rFonts w:ascii="宋体" w:cs="宋体" w:eastAsia="宋体" w:hAnsi="宋体"/>
                <w:sz w:val="20"/>
                <w:szCs w:val="20"/>
                <w:color w:val="auto"/>
              </w:rPr>
              <w:t>赛福硒</w:t>
            </w:r>
            <w:r>
              <w:rPr>
                <w:rFonts w:ascii="Times New Roman" w:cs="Times New Roman" w:eastAsia="Times New Roman" w:hAnsi="Times New Roman"/>
                <w:sz w:val="20"/>
                <w:szCs w:val="20"/>
                <w:color w:val="auto"/>
              </w:rPr>
              <w:t xml:space="preserve"> 3000</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饲料添加剂</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酵母硒</w:t>
            </w:r>
          </w:p>
        </w:tc>
        <w:tc>
          <w:tcPr>
            <w:tcW w:w="0" w:type="dxa"/>
            <w:vAlign w:val="bottom"/>
          </w:tcPr>
          <w:p>
            <w:pPr>
              <w:spacing w:after="0"/>
              <w:rPr>
                <w:sz w:val="1"/>
                <w:szCs w:val="1"/>
                <w:color w:val="auto"/>
              </w:rPr>
            </w:pPr>
          </w:p>
        </w:tc>
      </w:tr>
      <w:tr>
        <w:trPr>
          <w:trHeight w:val="98"/>
        </w:trPr>
        <w:tc>
          <w:tcPr>
            <w:tcW w:w="720" w:type="dxa"/>
            <w:vAlign w:val="bottom"/>
            <w:tcBorders>
              <w:left w:val="single" w:sz="8" w:color="auto"/>
              <w:right w:val="single" w:sz="8" w:color="auto"/>
            </w:tcBorders>
            <w:vMerge w:val="restart"/>
          </w:tcPr>
          <w:p>
            <w:pPr>
              <w:jc w:val="right"/>
              <w:ind w:right="160"/>
              <w:spacing w:after="0" w:line="221" w:lineRule="exact"/>
              <w:rPr>
                <w:sz w:val="20"/>
                <w:szCs w:val="20"/>
                <w:color w:val="auto"/>
              </w:rPr>
            </w:pPr>
            <w:r>
              <w:rPr>
                <w:rFonts w:ascii="Times New Roman" w:cs="Times New Roman" w:eastAsia="Times New Roman" w:hAnsi="Times New Roman"/>
                <w:sz w:val="20"/>
                <w:szCs w:val="20"/>
                <w:color w:val="auto"/>
              </w:rPr>
              <w:t>21</w:t>
            </w: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Lesaffre Feed Additives, a</w:t>
            </w: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Selyeast</w:t>
            </w:r>
          </w:p>
        </w:tc>
        <w:tc>
          <w:tcPr>
            <w:tcW w:w="184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48"/>
        </w:trPr>
        <w:tc>
          <w:tcPr>
            <w:tcW w:w="720" w:type="dxa"/>
            <w:vAlign w:val="bottom"/>
            <w:tcBorders>
              <w:left w:val="single" w:sz="8" w:color="auto"/>
              <w:right w:val="single" w:sz="8" w:color="auto"/>
            </w:tcBorders>
            <w:vMerge w:val="continue"/>
          </w:tcPr>
          <w:p>
            <w:pPr>
              <w:spacing w:after="0"/>
              <w:rPr>
                <w:sz w:val="12"/>
                <w:szCs w:val="12"/>
                <w:color w:val="auto"/>
              </w:rPr>
            </w:pPr>
          </w:p>
        </w:tc>
        <w:tc>
          <w:tcPr>
            <w:tcW w:w="1000" w:type="dxa"/>
            <w:vAlign w:val="bottom"/>
            <w:tcBorders>
              <w:right w:val="single" w:sz="8" w:color="auto"/>
            </w:tcBorders>
          </w:tcPr>
          <w:p>
            <w:pPr>
              <w:spacing w:after="0"/>
              <w:rPr>
                <w:sz w:val="12"/>
                <w:szCs w:val="12"/>
                <w:color w:val="auto"/>
              </w:rPr>
            </w:pPr>
          </w:p>
        </w:tc>
        <w:tc>
          <w:tcPr>
            <w:tcW w:w="2400" w:type="dxa"/>
            <w:vAlign w:val="bottom"/>
            <w:tcBorders>
              <w:right w:val="single" w:sz="8" w:color="auto"/>
            </w:tcBorders>
            <w:vMerge w:val="continue"/>
          </w:tcPr>
          <w:p>
            <w:pPr>
              <w:spacing w:after="0"/>
              <w:rPr>
                <w:sz w:val="12"/>
                <w:szCs w:val="12"/>
                <w:color w:val="auto"/>
              </w:rPr>
            </w:pPr>
          </w:p>
        </w:tc>
        <w:tc>
          <w:tcPr>
            <w:tcW w:w="128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Feed Additive</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Selenium Yeast</w:t>
            </w:r>
          </w:p>
        </w:tc>
        <w:tc>
          <w:tcPr>
            <w:tcW w:w="0" w:type="dxa"/>
            <w:vAlign w:val="bottom"/>
          </w:tcPr>
          <w:p>
            <w:pPr>
              <w:spacing w:after="0"/>
              <w:rPr>
                <w:sz w:val="1"/>
                <w:szCs w:val="1"/>
                <w:color w:val="auto"/>
              </w:rPr>
            </w:pPr>
          </w:p>
        </w:tc>
      </w:tr>
      <w:tr>
        <w:trPr>
          <w:trHeight w:val="104"/>
        </w:trPr>
        <w:tc>
          <w:tcPr>
            <w:tcW w:w="720" w:type="dxa"/>
            <w:vAlign w:val="bottom"/>
            <w:tcBorders>
              <w:left w:val="single" w:sz="8" w:color="auto"/>
              <w:right w:val="single" w:sz="8" w:color="auto"/>
            </w:tcBorders>
          </w:tcPr>
          <w:p>
            <w:pPr>
              <w:spacing w:after="0"/>
              <w:rPr>
                <w:sz w:val="9"/>
                <w:szCs w:val="9"/>
                <w:color w:val="auto"/>
              </w:rPr>
            </w:pPr>
          </w:p>
        </w:tc>
        <w:tc>
          <w:tcPr>
            <w:tcW w:w="1000" w:type="dxa"/>
            <w:vAlign w:val="bottom"/>
            <w:tcBorders>
              <w:right w:val="single" w:sz="8" w:color="auto"/>
            </w:tcBorders>
          </w:tcPr>
          <w:p>
            <w:pPr>
              <w:spacing w:after="0"/>
              <w:rPr>
                <w:sz w:val="9"/>
                <w:szCs w:val="9"/>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division of Lesaffre Yeast</w:t>
            </w:r>
          </w:p>
        </w:tc>
        <w:tc>
          <w:tcPr>
            <w:tcW w:w="1280" w:type="dxa"/>
            <w:vAlign w:val="bottom"/>
            <w:tcBorders>
              <w:right w:val="single" w:sz="8" w:color="auto"/>
            </w:tcBorders>
            <w:vMerge w:val="restart"/>
          </w:tcPr>
          <w:p>
            <w:pPr>
              <w:jc w:val="center"/>
              <w:spacing w:after="0" w:line="219" w:lineRule="exact"/>
              <w:rPr>
                <w:sz w:val="20"/>
                <w:szCs w:val="20"/>
                <w:color w:val="auto"/>
              </w:rPr>
            </w:pPr>
            <w:r>
              <w:rPr>
                <w:rFonts w:ascii="Times New Roman" w:cs="Times New Roman" w:eastAsia="Times New Roman" w:hAnsi="Times New Roman"/>
                <w:sz w:val="20"/>
                <w:szCs w:val="20"/>
                <w:color w:val="auto"/>
              </w:rPr>
              <w:t>3000</w:t>
            </w:r>
          </w:p>
        </w:tc>
        <w:tc>
          <w:tcPr>
            <w:tcW w:w="1840" w:type="dxa"/>
            <w:vAlign w:val="bottom"/>
            <w:tcBorders>
              <w:right w:val="single" w:sz="8" w:color="auto"/>
            </w:tcBorders>
            <w:vMerge w:val="continue"/>
          </w:tcPr>
          <w:p>
            <w:pPr>
              <w:spacing w:after="0"/>
              <w:rPr>
                <w:sz w:val="9"/>
                <w:szCs w:val="9"/>
                <w:color w:val="auto"/>
              </w:rPr>
            </w:pPr>
          </w:p>
        </w:tc>
        <w:tc>
          <w:tcPr>
            <w:tcW w:w="21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continue"/>
          </w:tcPr>
          <w:p>
            <w:pPr>
              <w:spacing w:after="0"/>
              <w:rPr>
                <w:sz w:val="11"/>
                <w:szCs w:val="11"/>
                <w:color w:val="auto"/>
              </w:rPr>
            </w:pPr>
          </w:p>
        </w:tc>
        <w:tc>
          <w:tcPr>
            <w:tcW w:w="184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2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Corporation, USA</w:t>
            </w:r>
          </w:p>
        </w:tc>
        <w:tc>
          <w:tcPr>
            <w:tcW w:w="1280" w:type="dxa"/>
            <w:vAlign w:val="bottom"/>
            <w:tcBorders>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spacing w:after="0"/>
              <w:rPr>
                <w:sz w:val="20"/>
                <w:szCs w:val="20"/>
                <w:color w:val="auto"/>
              </w:rPr>
            </w:pPr>
          </w:p>
        </w:tc>
        <w:tc>
          <w:tcPr>
            <w:tcW w:w="2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23"/>
        </w:trPr>
        <w:tc>
          <w:tcPr>
            <w:tcW w:w="720" w:type="dxa"/>
            <w:vAlign w:val="bottom"/>
            <w:tcBorders>
              <w:left w:val="single" w:sz="8" w:color="auto"/>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2400" w:type="dxa"/>
            <w:vAlign w:val="bottom"/>
            <w:tcBorders>
              <w:right w:val="single" w:sz="8" w:color="auto"/>
            </w:tcBorders>
          </w:tcPr>
          <w:p>
            <w:pPr>
              <w:jc w:val="center"/>
              <w:spacing w:after="0" w:line="224" w:lineRule="exact"/>
              <w:rPr>
                <w:sz w:val="20"/>
                <w:szCs w:val="20"/>
                <w:color w:val="auto"/>
              </w:rPr>
            </w:pPr>
            <w:r>
              <w:rPr>
                <w:rFonts w:ascii="宋体" w:cs="宋体" w:eastAsia="宋体" w:hAnsi="宋体"/>
                <w:sz w:val="20"/>
                <w:szCs w:val="20"/>
                <w:color w:val="auto"/>
                <w:w w:val="99"/>
              </w:rPr>
              <w:t>美盛作物营养有限公司</w:t>
            </w:r>
          </w:p>
        </w:tc>
        <w:tc>
          <w:tcPr>
            <w:tcW w:w="1280" w:type="dxa"/>
            <w:vAlign w:val="bottom"/>
            <w:tcBorders>
              <w:right w:val="single" w:sz="8" w:color="auto"/>
            </w:tcBorders>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c>
          <w:tcPr>
            <w:tcW w:w="21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9"/>
        </w:trPr>
        <w:tc>
          <w:tcPr>
            <w:tcW w:w="720" w:type="dxa"/>
            <w:vAlign w:val="bottom"/>
            <w:tcBorders>
              <w:left w:val="single" w:sz="8" w:color="auto"/>
              <w:right w:val="single" w:sz="8" w:color="auto"/>
            </w:tcBorders>
          </w:tcPr>
          <w:p>
            <w:pPr>
              <w:spacing w:after="0"/>
              <w:rPr>
                <w:sz w:val="22"/>
                <w:szCs w:val="22"/>
                <w:color w:val="auto"/>
              </w:rPr>
            </w:pPr>
          </w:p>
        </w:tc>
        <w:tc>
          <w:tcPr>
            <w:tcW w:w="1000" w:type="dxa"/>
            <w:vAlign w:val="bottom"/>
            <w:tcBorders>
              <w:right w:val="single" w:sz="8" w:color="auto"/>
            </w:tcBorders>
          </w:tcPr>
          <w:p>
            <w:pPr>
              <w:spacing w:after="0"/>
              <w:rPr>
                <w:sz w:val="22"/>
                <w:szCs w:val="22"/>
                <w:color w:val="auto"/>
              </w:rPr>
            </w:pPr>
          </w:p>
        </w:tc>
        <w:tc>
          <w:tcPr>
            <w:tcW w:w="240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美盛饲料添加剂部</w:t>
            </w: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富磷（磷酸</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8"/>
              </w:rPr>
              <w:t>矿物质饲料添加剂</w:t>
            </w:r>
          </w:p>
        </w:tc>
        <w:tc>
          <w:tcPr>
            <w:tcW w:w="21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磷酸氢钙</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Mosaic Global Sales, LLC</w:t>
            </w:r>
          </w:p>
        </w:tc>
        <w:tc>
          <w:tcPr>
            <w:tcW w:w="1280" w:type="dxa"/>
            <w:vAlign w:val="bottom"/>
            <w:tcBorders>
              <w:right w:val="single" w:sz="8" w:color="auto"/>
            </w:tcBorders>
            <w:vMerge w:val="continue"/>
          </w:tcPr>
          <w:p>
            <w:pPr>
              <w:spacing w:after="0"/>
              <w:rPr>
                <w:sz w:val="8"/>
                <w:szCs w:val="8"/>
                <w:color w:val="auto"/>
              </w:rPr>
            </w:pPr>
          </w:p>
        </w:tc>
        <w:tc>
          <w:tcPr>
            <w:tcW w:w="184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51"/>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22</w:t>
            </w:r>
          </w:p>
        </w:tc>
        <w:tc>
          <w:tcPr>
            <w:tcW w:w="1000" w:type="dxa"/>
            <w:vAlign w:val="bottom"/>
            <w:tcBorders>
              <w:right w:val="single" w:sz="8" w:color="auto"/>
            </w:tcBorders>
          </w:tcPr>
          <w:p>
            <w:pPr>
              <w:spacing w:after="0"/>
              <w:rPr>
                <w:sz w:val="13"/>
                <w:szCs w:val="13"/>
                <w:color w:val="auto"/>
              </w:rPr>
            </w:pPr>
          </w:p>
        </w:tc>
        <w:tc>
          <w:tcPr>
            <w:tcW w:w="2400" w:type="dxa"/>
            <w:vAlign w:val="bottom"/>
            <w:tcBorders>
              <w:right w:val="single" w:sz="8" w:color="auto"/>
            </w:tcBorders>
            <w:vMerge w:val="continue"/>
          </w:tcPr>
          <w:p>
            <w:pPr>
              <w:spacing w:after="0"/>
              <w:rPr>
                <w:sz w:val="13"/>
                <w:szCs w:val="13"/>
                <w:color w:val="auto"/>
              </w:rPr>
            </w:pPr>
          </w:p>
        </w:tc>
        <w:tc>
          <w:tcPr>
            <w:tcW w:w="12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7"/>
              </w:rPr>
              <w:t>二氢钙）</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Natural Mineral</w:t>
            </w: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Monocalcium</w:t>
            </w: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Mosaic Feed Ingredients, a</w:t>
            </w:r>
          </w:p>
        </w:tc>
        <w:tc>
          <w:tcPr>
            <w:tcW w:w="1280" w:type="dxa"/>
            <w:vAlign w:val="bottom"/>
            <w:tcBorders>
              <w:right w:val="single" w:sz="8" w:color="auto"/>
            </w:tcBorders>
            <w:vMerge w:val="continue"/>
          </w:tcPr>
          <w:p>
            <w:pPr>
              <w:spacing w:after="0"/>
              <w:rPr>
                <w:sz w:val="8"/>
                <w:szCs w:val="8"/>
                <w:color w:val="auto"/>
              </w:rPr>
            </w:pPr>
          </w:p>
        </w:tc>
        <w:tc>
          <w:tcPr>
            <w:tcW w:w="184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Biofos</w:t>
            </w:r>
          </w:p>
        </w:tc>
        <w:tc>
          <w:tcPr>
            <w:tcW w:w="184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Phosphate</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Division of Mosaic Corp</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continue"/>
          </w:tcPr>
          <w:p>
            <w:pPr>
              <w:spacing w:after="0"/>
              <w:rPr>
                <w:sz w:val="10"/>
                <w:szCs w:val="10"/>
                <w:color w:val="auto"/>
              </w:rPr>
            </w:pPr>
          </w:p>
        </w:tc>
        <w:tc>
          <w:tcPr>
            <w:tcW w:w="128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35"/>
        </w:trPr>
        <w:tc>
          <w:tcPr>
            <w:tcW w:w="720" w:type="dxa"/>
            <w:vAlign w:val="bottom"/>
            <w:tcBorders>
              <w:left w:val="single" w:sz="8" w:color="auto"/>
              <w:bottom w:val="single" w:sz="8" w:color="auto"/>
              <w:right w:val="single" w:sz="8" w:color="auto"/>
            </w:tcBorders>
          </w:tcPr>
          <w:p>
            <w:pPr>
              <w:spacing w:after="0"/>
              <w:rPr>
                <w:sz w:val="20"/>
                <w:szCs w:val="20"/>
                <w:color w:val="auto"/>
              </w:rPr>
            </w:pPr>
          </w:p>
        </w:tc>
        <w:tc>
          <w:tcPr>
            <w:tcW w:w="1000" w:type="dxa"/>
            <w:vAlign w:val="bottom"/>
            <w:tcBorders>
              <w:bottom w:val="single" w:sz="8" w:color="auto"/>
              <w:right w:val="single" w:sz="8" w:color="auto"/>
            </w:tcBorders>
          </w:tcPr>
          <w:p>
            <w:pPr>
              <w:spacing w:after="0"/>
              <w:rPr>
                <w:sz w:val="20"/>
                <w:szCs w:val="20"/>
                <w:color w:val="auto"/>
              </w:rPr>
            </w:pPr>
          </w:p>
        </w:tc>
        <w:tc>
          <w:tcPr>
            <w:tcW w:w="24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Nutrition, LLC</w:t>
            </w:r>
          </w:p>
        </w:tc>
        <w:tc>
          <w:tcPr>
            <w:tcW w:w="1280" w:type="dxa"/>
            <w:vAlign w:val="bottom"/>
            <w:tcBorders>
              <w:bottom w:val="single" w:sz="8" w:color="auto"/>
              <w:right w:val="single" w:sz="8" w:color="auto"/>
            </w:tcBorders>
          </w:tcPr>
          <w:p>
            <w:pPr>
              <w:spacing w:after="0"/>
              <w:rPr>
                <w:sz w:val="20"/>
                <w:szCs w:val="20"/>
                <w:color w:val="auto"/>
              </w:rPr>
            </w:pPr>
          </w:p>
        </w:tc>
        <w:tc>
          <w:tcPr>
            <w:tcW w:w="1840" w:type="dxa"/>
            <w:vAlign w:val="bottom"/>
            <w:tcBorders>
              <w:bottom w:val="single" w:sz="8" w:color="auto"/>
              <w:right w:val="single" w:sz="8" w:color="auto"/>
            </w:tcBorders>
          </w:tcPr>
          <w:p>
            <w:pPr>
              <w:spacing w:after="0"/>
              <w:rPr>
                <w:sz w:val="20"/>
                <w:szCs w:val="20"/>
                <w:color w:val="auto"/>
              </w:rPr>
            </w:pPr>
          </w:p>
        </w:tc>
        <w:tc>
          <w:tcPr>
            <w:tcW w:w="21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4"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3-42</w:t>
      </w:r>
    </w:p>
    <w:p>
      <w:pPr>
        <w:sectPr>
          <w:pgSz w:w="12240" w:h="15840" w:orient="portrait"/>
          <w:cols w:equalWidth="0" w:num="1">
            <w:col w:w="9440"/>
          </w:cols>
          <w:pgMar w:left="1360" w:top="1440" w:right="1440" w:bottom="439" w:gutter="0" w:footer="0" w:header="0"/>
        </w:sectPr>
      </w:pPr>
    </w:p>
    <w:bookmarkStart w:id="64" w:name="page65"/>
    <w:bookmarkEnd w:id="64"/>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tbl>
      <w:tblPr>
        <w:tblLayout w:type="fixed"/>
        <w:tblInd w:w="10" w:type="dxa"/>
        <w:tblCellMar>
          <w:top w:w="0" w:type="dxa"/>
          <w:left w:w="0" w:type="dxa"/>
          <w:bottom w:w="0" w:type="dxa"/>
          <w:right w:w="0" w:type="dxa"/>
        </w:tblCellMar>
      </w:tblPr>
      <w:tr>
        <w:trPr>
          <w:trHeight w:val="254"/>
        </w:trPr>
        <w:tc>
          <w:tcPr>
            <w:tcW w:w="720" w:type="dxa"/>
            <w:vAlign w:val="bottom"/>
            <w:tcBorders>
              <w:top w:val="single" w:sz="8" w:color="auto"/>
              <w:left w:val="single" w:sz="8" w:color="auto"/>
              <w:right w:val="single" w:sz="8" w:color="auto"/>
            </w:tcBorders>
          </w:tcPr>
          <w:p>
            <w:pPr>
              <w:spacing w:after="0"/>
              <w:rPr>
                <w:sz w:val="22"/>
                <w:szCs w:val="22"/>
                <w:color w:val="auto"/>
              </w:rPr>
            </w:pPr>
          </w:p>
        </w:tc>
        <w:tc>
          <w:tcPr>
            <w:tcW w:w="1000" w:type="dxa"/>
            <w:vAlign w:val="bottom"/>
            <w:tcBorders>
              <w:top w:val="single" w:sz="8" w:color="auto"/>
              <w:right w:val="single" w:sz="8" w:color="auto"/>
            </w:tcBorders>
          </w:tcPr>
          <w:p>
            <w:pPr>
              <w:spacing w:after="0"/>
              <w:rPr>
                <w:sz w:val="22"/>
                <w:szCs w:val="22"/>
                <w:color w:val="auto"/>
              </w:rPr>
            </w:pPr>
          </w:p>
        </w:tc>
        <w:tc>
          <w:tcPr>
            <w:tcW w:w="240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美国金宝动物营养国际</w:t>
            </w:r>
          </w:p>
        </w:tc>
        <w:tc>
          <w:tcPr>
            <w:tcW w:w="128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氨维乐一锌</w:t>
            </w:r>
          </w:p>
        </w:tc>
        <w:tc>
          <w:tcPr>
            <w:tcW w:w="1840" w:type="dxa"/>
            <w:vAlign w:val="bottom"/>
            <w:tcBorders>
              <w:top w:val="single" w:sz="8" w:color="auto"/>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矿物饲料添加剂</w:t>
            </w:r>
          </w:p>
        </w:tc>
        <w:tc>
          <w:tcPr>
            <w:tcW w:w="2140" w:type="dxa"/>
            <w:vAlign w:val="bottom"/>
            <w:tcBorders>
              <w:top w:val="single" w:sz="8" w:color="auto"/>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氨基酸锌络合物</w:t>
            </w: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有限公司</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Zinc Amino Acid</w:t>
            </w:r>
          </w:p>
        </w:tc>
        <w:tc>
          <w:tcPr>
            <w:tcW w:w="0" w:type="dxa"/>
            <w:vAlign w:val="bottom"/>
          </w:tcPr>
          <w:p>
            <w:pPr>
              <w:spacing w:after="0"/>
              <w:rPr>
                <w:sz w:val="1"/>
                <w:szCs w:val="1"/>
                <w:color w:val="auto"/>
              </w:rPr>
            </w:pPr>
          </w:p>
        </w:tc>
      </w:tr>
      <w:tr>
        <w:trPr>
          <w:trHeight w:val="136"/>
        </w:trPr>
        <w:tc>
          <w:tcPr>
            <w:tcW w:w="720" w:type="dxa"/>
            <w:vAlign w:val="bottom"/>
            <w:tcBorders>
              <w:left w:val="single" w:sz="8" w:color="auto"/>
              <w:right w:val="single" w:sz="8" w:color="auto"/>
            </w:tcBorders>
            <w:vMerge w:val="restart"/>
          </w:tcPr>
          <w:p>
            <w:pPr>
              <w:jc w:val="right"/>
              <w:ind w:right="160"/>
              <w:spacing w:after="0"/>
              <w:rPr>
                <w:sz w:val="20"/>
                <w:szCs w:val="20"/>
                <w:color w:val="auto"/>
              </w:rPr>
            </w:pPr>
            <w:r>
              <w:rPr>
                <w:rFonts w:ascii="Times New Roman" w:cs="Times New Roman" w:eastAsia="Times New Roman" w:hAnsi="Times New Roman"/>
                <w:sz w:val="20"/>
                <w:szCs w:val="20"/>
                <w:color w:val="auto"/>
              </w:rPr>
              <w:t>23</w:t>
            </w: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100 Availa-</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8"/>
              </w:rPr>
              <w:t>Mineral Feed</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15"/>
        </w:trPr>
        <w:tc>
          <w:tcPr>
            <w:tcW w:w="720" w:type="dxa"/>
            <w:vAlign w:val="bottom"/>
            <w:tcBorders>
              <w:left w:val="single" w:sz="8" w:color="auto"/>
              <w:right w:val="single" w:sz="8" w:color="auto"/>
            </w:tcBorders>
            <w:vMerge w:val="continue"/>
          </w:tcPr>
          <w:p>
            <w:pPr>
              <w:spacing w:after="0"/>
              <w:rPr>
                <w:sz w:val="10"/>
                <w:szCs w:val="10"/>
                <w:color w:val="auto"/>
              </w:rPr>
            </w:pPr>
          </w:p>
        </w:tc>
        <w:tc>
          <w:tcPr>
            <w:tcW w:w="1000" w:type="dxa"/>
            <w:vAlign w:val="bottom"/>
            <w:tcBorders>
              <w:right w:val="single" w:sz="8" w:color="auto"/>
            </w:tcBorders>
          </w:tcPr>
          <w:p>
            <w:pPr>
              <w:spacing w:after="0"/>
              <w:rPr>
                <w:sz w:val="10"/>
                <w:szCs w:val="10"/>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Zinpro Animal Nutrition</w:t>
            </w:r>
          </w:p>
        </w:tc>
        <w:tc>
          <w:tcPr>
            <w:tcW w:w="1280" w:type="dxa"/>
            <w:vAlign w:val="bottom"/>
            <w:tcBorders>
              <w:right w:val="single" w:sz="8" w:color="auto"/>
            </w:tcBorders>
            <w:vMerge w:val="continue"/>
          </w:tcPr>
          <w:p>
            <w:pPr>
              <w:spacing w:after="0"/>
              <w:rPr>
                <w:sz w:val="10"/>
                <w:szCs w:val="10"/>
                <w:color w:val="auto"/>
              </w:rPr>
            </w:pPr>
          </w:p>
        </w:tc>
        <w:tc>
          <w:tcPr>
            <w:tcW w:w="1840" w:type="dxa"/>
            <w:vAlign w:val="bottom"/>
            <w:tcBorders>
              <w:right w:val="single" w:sz="8" w:color="auto"/>
            </w:tcBorders>
            <w:vMerge w:val="continue"/>
          </w:tcPr>
          <w:p>
            <w:pPr>
              <w:spacing w:after="0"/>
              <w:rPr>
                <w:sz w:val="10"/>
                <w:szCs w:val="10"/>
                <w:color w:val="auto"/>
              </w:rPr>
            </w:pPr>
          </w:p>
        </w:tc>
        <w:tc>
          <w:tcPr>
            <w:tcW w:w="21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Complex</w:t>
            </w:r>
          </w:p>
        </w:tc>
        <w:tc>
          <w:tcPr>
            <w:tcW w:w="0" w:type="dxa"/>
            <w:vAlign w:val="bottom"/>
          </w:tcPr>
          <w:p>
            <w:pPr>
              <w:spacing w:after="0"/>
              <w:rPr>
                <w:sz w:val="1"/>
                <w:szCs w:val="1"/>
                <w:color w:val="auto"/>
              </w:rPr>
            </w:pPr>
          </w:p>
        </w:tc>
      </w:tr>
      <w:tr>
        <w:trPr>
          <w:trHeight w:val="130"/>
        </w:trPr>
        <w:tc>
          <w:tcPr>
            <w:tcW w:w="720" w:type="dxa"/>
            <w:vAlign w:val="bottom"/>
            <w:tcBorders>
              <w:left w:val="single" w:sz="8" w:color="auto"/>
              <w:right w:val="single" w:sz="8" w:color="auto"/>
            </w:tcBorders>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2400" w:type="dxa"/>
            <w:vAlign w:val="bottom"/>
            <w:tcBorders>
              <w:right w:val="single" w:sz="8" w:color="auto"/>
            </w:tcBorders>
            <w:vMerge w:val="continue"/>
          </w:tcPr>
          <w:p>
            <w:pPr>
              <w:spacing w:after="0"/>
              <w:rPr>
                <w:sz w:val="11"/>
                <w:szCs w:val="11"/>
                <w:color w:val="auto"/>
              </w:rPr>
            </w:pPr>
          </w:p>
        </w:tc>
        <w:tc>
          <w:tcPr>
            <w:tcW w:w="12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rPr>
              <w:t>Zn 100</w:t>
            </w:r>
          </w:p>
        </w:tc>
        <w:tc>
          <w:tcPr>
            <w:tcW w:w="1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Additive</w:t>
            </w:r>
          </w:p>
        </w:tc>
        <w:tc>
          <w:tcPr>
            <w:tcW w:w="21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01"/>
        </w:trPr>
        <w:tc>
          <w:tcPr>
            <w:tcW w:w="720" w:type="dxa"/>
            <w:vAlign w:val="bottom"/>
            <w:tcBorders>
              <w:left w:val="single" w:sz="8" w:color="auto"/>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24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0"/>
                <w:szCs w:val="20"/>
                <w:color w:val="auto"/>
                <w:w w:val="99"/>
              </w:rPr>
              <w:t>International Inc, USA</w:t>
            </w:r>
          </w:p>
        </w:tc>
        <w:tc>
          <w:tcPr>
            <w:tcW w:w="1280" w:type="dxa"/>
            <w:vAlign w:val="bottom"/>
            <w:tcBorders>
              <w:right w:val="single" w:sz="8" w:color="auto"/>
            </w:tcBorders>
            <w:vMerge w:val="continue"/>
          </w:tcPr>
          <w:p>
            <w:pPr>
              <w:spacing w:after="0"/>
              <w:rPr>
                <w:sz w:val="8"/>
                <w:szCs w:val="8"/>
                <w:color w:val="auto"/>
              </w:rPr>
            </w:pPr>
          </w:p>
        </w:tc>
        <w:tc>
          <w:tcPr>
            <w:tcW w:w="184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34"/>
        </w:trPr>
        <w:tc>
          <w:tcPr>
            <w:tcW w:w="720" w:type="dxa"/>
            <w:vAlign w:val="bottom"/>
            <w:tcBorders>
              <w:left w:val="single" w:sz="8" w:color="auto"/>
              <w:bottom w:val="single" w:sz="8" w:color="auto"/>
              <w:right w:val="single" w:sz="8" w:color="auto"/>
            </w:tcBorders>
          </w:tcPr>
          <w:p>
            <w:pPr>
              <w:spacing w:after="0"/>
              <w:rPr>
                <w:sz w:val="11"/>
                <w:szCs w:val="11"/>
                <w:color w:val="auto"/>
              </w:rPr>
            </w:pPr>
          </w:p>
        </w:tc>
        <w:tc>
          <w:tcPr>
            <w:tcW w:w="1000" w:type="dxa"/>
            <w:vAlign w:val="bottom"/>
            <w:tcBorders>
              <w:bottom w:val="single" w:sz="8" w:color="auto"/>
              <w:right w:val="single" w:sz="8" w:color="auto"/>
            </w:tcBorders>
          </w:tcPr>
          <w:p>
            <w:pPr>
              <w:spacing w:after="0"/>
              <w:rPr>
                <w:sz w:val="11"/>
                <w:szCs w:val="11"/>
                <w:color w:val="auto"/>
              </w:rPr>
            </w:pPr>
          </w:p>
        </w:tc>
        <w:tc>
          <w:tcPr>
            <w:tcW w:w="2400" w:type="dxa"/>
            <w:vAlign w:val="bottom"/>
            <w:tcBorders>
              <w:bottom w:val="single" w:sz="8" w:color="auto"/>
              <w:right w:val="single" w:sz="8" w:color="auto"/>
            </w:tcBorders>
            <w:vMerge w:val="continue"/>
          </w:tcPr>
          <w:p>
            <w:pPr>
              <w:spacing w:after="0"/>
              <w:rPr>
                <w:sz w:val="11"/>
                <w:szCs w:val="11"/>
                <w:color w:val="auto"/>
              </w:rPr>
            </w:pPr>
          </w:p>
        </w:tc>
        <w:tc>
          <w:tcPr>
            <w:tcW w:w="1280" w:type="dxa"/>
            <w:vAlign w:val="bottom"/>
            <w:tcBorders>
              <w:bottom w:val="single" w:sz="8" w:color="auto"/>
              <w:right w:val="single" w:sz="8" w:color="auto"/>
            </w:tcBorders>
          </w:tcPr>
          <w:p>
            <w:pPr>
              <w:spacing w:after="0"/>
              <w:rPr>
                <w:sz w:val="11"/>
                <w:szCs w:val="11"/>
                <w:color w:val="auto"/>
              </w:rPr>
            </w:pPr>
          </w:p>
        </w:tc>
        <w:tc>
          <w:tcPr>
            <w:tcW w:w="1840" w:type="dxa"/>
            <w:vAlign w:val="bottom"/>
            <w:tcBorders>
              <w:bottom w:val="single" w:sz="8" w:color="auto"/>
              <w:right w:val="single" w:sz="8" w:color="auto"/>
            </w:tcBorders>
          </w:tcPr>
          <w:p>
            <w:pPr>
              <w:spacing w:after="0"/>
              <w:rPr>
                <w:sz w:val="11"/>
                <w:szCs w:val="11"/>
                <w:color w:val="auto"/>
              </w:rPr>
            </w:pPr>
          </w:p>
        </w:tc>
        <w:tc>
          <w:tcPr>
            <w:tcW w:w="214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79"/>
        <w:spacing w:after="0"/>
        <w:rPr>
          <w:sz w:val="20"/>
          <w:szCs w:val="20"/>
          <w:color w:val="auto"/>
        </w:rPr>
      </w:pPr>
      <w:r>
        <w:rPr>
          <w:rFonts w:ascii="Times New Roman" w:cs="Times New Roman" w:eastAsia="Times New Roman" w:hAnsi="Times New Roman"/>
          <w:sz w:val="24"/>
          <w:szCs w:val="24"/>
          <w:color w:val="auto"/>
        </w:rPr>
        <w:t>3-43</w:t>
      </w:r>
    </w:p>
    <w:p>
      <w:pPr>
        <w:sectPr>
          <w:pgSz w:w="12240" w:h="15840" w:orient="portrait"/>
          <w:cols w:equalWidth="0" w:num="1">
            <w:col w:w="9440"/>
          </w:cols>
          <w:pgMar w:left="1360" w:top="1440" w:right="1440" w:bottom="439" w:gutter="0" w:footer="0" w:header="0"/>
        </w:sectPr>
      </w:pPr>
    </w:p>
    <w:bookmarkStart w:id="65" w:name="page66"/>
    <w:bookmarkEnd w:id="6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第四章 金融服务</w:t>
      </w:r>
    </w:p>
    <w:p>
      <w:pPr>
        <w:spacing w:after="0" w:line="200" w:lineRule="exact"/>
        <w:rPr>
          <w:sz w:val="20"/>
          <w:szCs w:val="20"/>
          <w:color w:val="auto"/>
        </w:rPr>
      </w:pPr>
    </w:p>
    <w:p>
      <w:pPr>
        <w:spacing w:after="0" w:line="260"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4.1</w:t>
      </w:r>
      <w:r>
        <w:rPr>
          <w:rFonts w:ascii="宋体" w:cs="宋体" w:eastAsia="宋体" w:hAnsi="宋体"/>
          <w:sz w:val="28"/>
          <w:szCs w:val="28"/>
          <w:b w:val="1"/>
          <w:bCs w:val="1"/>
          <w:color w:val="auto"/>
        </w:rPr>
        <w:t>条 目 标</w:t>
      </w:r>
    </w:p>
    <w:p>
      <w:pPr>
        <w:spacing w:after="0" w:line="200" w:lineRule="exact"/>
        <w:rPr>
          <w:sz w:val="20"/>
          <w:szCs w:val="20"/>
          <w:color w:val="auto"/>
        </w:rPr>
      </w:pPr>
    </w:p>
    <w:p>
      <w:pPr>
        <w:spacing w:after="0" w:line="259" w:lineRule="exact"/>
        <w:rPr>
          <w:sz w:val="20"/>
          <w:szCs w:val="20"/>
          <w:color w:val="auto"/>
        </w:rPr>
      </w:pPr>
    </w:p>
    <w:p>
      <w:pPr>
        <w:jc w:val="both"/>
        <w:ind w:left="480" w:right="386" w:firstLine="562"/>
        <w:spacing w:after="0" w:line="492" w:lineRule="exact"/>
        <w:rPr>
          <w:sz w:val="20"/>
          <w:szCs w:val="20"/>
          <w:color w:val="auto"/>
        </w:rPr>
      </w:pPr>
      <w:r>
        <w:rPr>
          <w:rFonts w:ascii="宋体" w:cs="宋体" w:eastAsia="宋体" w:hAnsi="宋体"/>
          <w:sz w:val="28"/>
          <w:szCs w:val="28"/>
          <w:b w:val="1"/>
          <w:bCs w:val="1"/>
          <w:color w:val="auto"/>
        </w:rPr>
        <w:t>双方认为，双方在双边服务贸易领域拥有广阔合作机遇和互惠利益。每一方请求对方确保己方的服务和服务提供者公平、有效、非歧视地参与对方市场。双方应进行建设性的工作，给予对方的服务和服务提供者公平、有效、非歧视的市场准入待遇。为此，双方应从本金融服务章节约定的行动开始，采取具体行动。</w:t>
      </w:r>
    </w:p>
    <w:p>
      <w:pPr>
        <w:spacing w:after="0" w:line="200" w:lineRule="exact"/>
        <w:rPr>
          <w:sz w:val="20"/>
          <w:szCs w:val="20"/>
          <w:color w:val="auto"/>
        </w:rPr>
      </w:pPr>
    </w:p>
    <w:p>
      <w:pPr>
        <w:spacing w:after="0" w:line="24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4.2</w:t>
      </w:r>
      <w:r>
        <w:rPr>
          <w:rFonts w:ascii="宋体" w:cs="宋体" w:eastAsia="宋体" w:hAnsi="宋体"/>
          <w:sz w:val="28"/>
          <w:szCs w:val="28"/>
          <w:b w:val="1"/>
          <w:bCs w:val="1"/>
          <w:color w:val="auto"/>
        </w:rPr>
        <w:t>条 银行服务</w:t>
      </w:r>
    </w:p>
    <w:p>
      <w:pPr>
        <w:spacing w:after="0" w:line="200" w:lineRule="exact"/>
        <w:rPr>
          <w:sz w:val="20"/>
          <w:szCs w:val="20"/>
          <w:color w:val="auto"/>
        </w:rPr>
      </w:pPr>
    </w:p>
    <w:p>
      <w:pPr>
        <w:spacing w:after="0" w:line="259" w:lineRule="exact"/>
        <w:rPr>
          <w:sz w:val="20"/>
          <w:szCs w:val="20"/>
          <w:color w:val="auto"/>
        </w:rPr>
      </w:pPr>
    </w:p>
    <w:p>
      <w:pPr>
        <w:jc w:val="both"/>
        <w:ind w:left="480" w:right="486" w:firstLine="554"/>
        <w:spacing w:after="0" w:line="412" w:lineRule="exact"/>
        <w:rPr>
          <w:sz w:val="20"/>
          <w:szCs w:val="20"/>
          <w:color w:val="auto"/>
        </w:rPr>
      </w:pPr>
      <w:r>
        <w:rPr>
          <w:rFonts w:ascii="宋体" w:cs="宋体" w:eastAsia="宋体" w:hAnsi="宋体"/>
          <w:sz w:val="28"/>
          <w:szCs w:val="28"/>
          <w:b w:val="1"/>
          <w:bCs w:val="1"/>
          <w:color w:val="auto"/>
        </w:rPr>
        <w:t>一、双方都承认互利合作对于改善市场准入、加强各自银行服务具有重要意义。</w:t>
      </w:r>
    </w:p>
    <w:p>
      <w:pPr>
        <w:spacing w:after="0" w:line="200" w:lineRule="exact"/>
        <w:rPr>
          <w:sz w:val="20"/>
          <w:szCs w:val="20"/>
          <w:color w:val="auto"/>
        </w:rPr>
      </w:pPr>
    </w:p>
    <w:p>
      <w:pPr>
        <w:spacing w:after="0" w:line="286" w:lineRule="exact"/>
        <w:rPr>
          <w:sz w:val="20"/>
          <w:szCs w:val="20"/>
          <w:color w:val="auto"/>
        </w:rPr>
      </w:pPr>
    </w:p>
    <w:p>
      <w:pPr>
        <w:jc w:val="both"/>
        <w:ind w:left="480" w:right="486" w:firstLine="554"/>
        <w:spacing w:after="0" w:line="411" w:lineRule="exact"/>
        <w:rPr>
          <w:sz w:val="20"/>
          <w:szCs w:val="20"/>
          <w:color w:val="auto"/>
        </w:rPr>
      </w:pPr>
      <w:r>
        <w:rPr>
          <w:rFonts w:ascii="宋体" w:cs="宋体" w:eastAsia="宋体" w:hAnsi="宋体"/>
          <w:sz w:val="27"/>
          <w:szCs w:val="27"/>
          <w:b w:val="1"/>
          <w:bCs w:val="1"/>
          <w:color w:val="auto"/>
        </w:rPr>
        <w:t>二、中国承诺，在美国金融机构的合格子公司提供或寻求提供证券投资基金托管服务时，其母公司的海外资产情况应被纳入考量</w:t>
      </w:r>
    </w:p>
    <w:p>
      <w:pPr>
        <w:spacing w:after="0" w:line="260" w:lineRule="exact"/>
        <w:rPr>
          <w:sz w:val="20"/>
          <w:szCs w:val="20"/>
          <w:color w:val="auto"/>
        </w:rPr>
      </w:pPr>
    </w:p>
    <w:p>
      <w:pPr>
        <w:jc w:val="both"/>
        <w:ind w:left="480" w:right="486"/>
        <w:spacing w:after="0" w:line="481" w:lineRule="exact"/>
        <w:rPr>
          <w:sz w:val="20"/>
          <w:szCs w:val="20"/>
          <w:color w:val="auto"/>
        </w:rPr>
      </w:pPr>
      <w:r>
        <w:rPr>
          <w:rFonts w:ascii="宋体" w:cs="宋体" w:eastAsia="宋体" w:hAnsi="宋体"/>
          <w:sz w:val="28"/>
          <w:szCs w:val="28"/>
          <w:b w:val="1"/>
          <w:bCs w:val="1"/>
          <w:color w:val="auto"/>
        </w:rPr>
        <w:t>以满足相关资产要求。本协议生效后</w:t>
      </w:r>
      <w:r>
        <w:rPr>
          <w:rFonts w:ascii="Times New Roman" w:cs="Times New Roman" w:eastAsia="Times New Roman" w:hAnsi="Times New Roman"/>
          <w:sz w:val="28"/>
          <w:szCs w:val="28"/>
          <w:b w:val="1"/>
          <w:bCs w:val="1"/>
          <w:color w:val="auto"/>
        </w:rPr>
        <w:t>5</w:t>
      </w:r>
      <w:r>
        <w:rPr>
          <w:rFonts w:ascii="宋体" w:cs="宋体" w:eastAsia="宋体" w:hAnsi="宋体"/>
          <w:sz w:val="28"/>
          <w:szCs w:val="28"/>
          <w:b w:val="1"/>
          <w:bCs w:val="1"/>
          <w:color w:val="auto"/>
        </w:rPr>
        <w:t>个月内，中国应允许美国金融机构的分行提供证券投资基金托管服务，并应将其母公司的海外资产情况纳入考量以满足相关资产要求。中国应及时审核和批准美国金融机构提出的证券投资基金托管牌照的合格申请。</w:t>
      </w:r>
    </w:p>
    <w:p>
      <w:pPr>
        <w:spacing w:after="0" w:line="200" w:lineRule="exact"/>
        <w:rPr>
          <w:sz w:val="20"/>
          <w:szCs w:val="20"/>
          <w:color w:val="auto"/>
        </w:rPr>
      </w:pPr>
    </w:p>
    <w:p>
      <w:pPr>
        <w:spacing w:after="0" w:line="24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三、中国确认，美国金融机构申请成为各类非金融债务融资工</w:t>
      </w:r>
    </w:p>
    <w:p>
      <w:pPr>
        <w:spacing w:after="0" w:line="226"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具</w:t>
      </w:r>
      <w:r>
        <w:rPr>
          <w:rFonts w:ascii="Times New Roman" w:cs="Times New Roman" w:eastAsia="Times New Roman" w:hAnsi="Times New Roman"/>
          <w:sz w:val="28"/>
          <w:szCs w:val="28"/>
          <w:b w:val="1"/>
          <w:bCs w:val="1"/>
          <w:color w:val="auto"/>
        </w:rPr>
        <w:t>A</w:t>
      </w:r>
      <w:r>
        <w:rPr>
          <w:rFonts w:ascii="宋体" w:cs="宋体" w:eastAsia="宋体" w:hAnsi="宋体"/>
          <w:sz w:val="28"/>
          <w:szCs w:val="28"/>
          <w:b w:val="1"/>
          <w:bCs w:val="1"/>
          <w:color w:val="auto"/>
        </w:rPr>
        <w:t>类主承销商时，应根据修改后的发放非金融企业债务融资工具</w:t>
      </w:r>
    </w:p>
    <w:p>
      <w:pPr>
        <w:spacing w:after="0" w:line="215"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主承销商牌照的评估规则接受评估，并相应获得牌照。该规则将美</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7"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4-1</w:t>
      </w:r>
    </w:p>
    <w:p>
      <w:pPr>
        <w:sectPr>
          <w:pgSz w:w="11900" w:h="16838" w:orient="portrait"/>
          <w:cols w:equalWidth="0" w:num="1">
            <w:col w:w="9026"/>
          </w:cols>
          <w:pgMar w:left="1440" w:top="1440" w:right="1440" w:bottom="435" w:gutter="0" w:footer="0" w:header="0"/>
        </w:sectPr>
      </w:pPr>
    </w:p>
    <w:bookmarkStart w:id="66" w:name="page67"/>
    <w:bookmarkEnd w:id="66"/>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480" w:right="486"/>
        <w:spacing w:after="0" w:line="412" w:lineRule="exact"/>
        <w:rPr>
          <w:sz w:val="20"/>
          <w:szCs w:val="20"/>
          <w:color w:val="auto"/>
        </w:rPr>
      </w:pPr>
      <w:r>
        <w:rPr>
          <w:rFonts w:ascii="宋体" w:cs="宋体" w:eastAsia="宋体" w:hAnsi="宋体"/>
          <w:sz w:val="28"/>
          <w:szCs w:val="28"/>
          <w:b w:val="1"/>
          <w:bCs w:val="1"/>
          <w:color w:val="auto"/>
        </w:rPr>
        <w:t>国金融机构的国际资质纳入评估考量，使该实体能够以此来满足在华申请牌照的相关要求。</w:t>
      </w:r>
    </w:p>
    <w:p>
      <w:pPr>
        <w:spacing w:after="0" w:line="200" w:lineRule="exact"/>
        <w:rPr>
          <w:sz w:val="20"/>
          <w:szCs w:val="20"/>
          <w:color w:val="auto"/>
        </w:rPr>
      </w:pPr>
    </w:p>
    <w:p>
      <w:pPr>
        <w:spacing w:after="0" w:line="283" w:lineRule="exact"/>
        <w:rPr>
          <w:sz w:val="20"/>
          <w:szCs w:val="20"/>
          <w:color w:val="auto"/>
        </w:rPr>
      </w:pPr>
    </w:p>
    <w:p>
      <w:pPr>
        <w:jc w:val="both"/>
        <w:ind w:left="480" w:right="486" w:firstLine="554"/>
        <w:spacing w:after="0" w:line="412" w:lineRule="exact"/>
        <w:rPr>
          <w:sz w:val="20"/>
          <w:szCs w:val="20"/>
          <w:color w:val="auto"/>
        </w:rPr>
      </w:pPr>
      <w:r>
        <w:rPr>
          <w:rFonts w:ascii="宋体" w:cs="宋体" w:eastAsia="宋体" w:hAnsi="宋体"/>
          <w:sz w:val="28"/>
          <w:szCs w:val="28"/>
          <w:b w:val="1"/>
          <w:bCs w:val="1"/>
          <w:color w:val="auto"/>
        </w:rPr>
        <w:t>四、美国承认目前有中信集团等中国机构的申请尚未批准，确认将及时考虑此类申请。</w:t>
      </w:r>
    </w:p>
    <w:p>
      <w:pPr>
        <w:spacing w:after="0" w:line="200" w:lineRule="exact"/>
        <w:rPr>
          <w:sz w:val="20"/>
          <w:szCs w:val="20"/>
          <w:color w:val="auto"/>
        </w:rPr>
      </w:pPr>
    </w:p>
    <w:p>
      <w:pPr>
        <w:spacing w:after="0" w:line="24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4.3</w:t>
      </w:r>
      <w:r>
        <w:rPr>
          <w:rFonts w:ascii="宋体" w:cs="宋体" w:eastAsia="宋体" w:hAnsi="宋体"/>
          <w:sz w:val="28"/>
          <w:szCs w:val="28"/>
          <w:b w:val="1"/>
          <w:bCs w:val="1"/>
          <w:color w:val="auto"/>
        </w:rPr>
        <w:t>条 信用评级服务</w:t>
      </w:r>
    </w:p>
    <w:p>
      <w:pPr>
        <w:spacing w:after="0" w:line="200" w:lineRule="exact"/>
        <w:rPr>
          <w:sz w:val="20"/>
          <w:szCs w:val="20"/>
          <w:color w:val="auto"/>
        </w:rPr>
      </w:pPr>
    </w:p>
    <w:p>
      <w:pPr>
        <w:spacing w:after="0" w:line="259" w:lineRule="exact"/>
        <w:rPr>
          <w:sz w:val="20"/>
          <w:szCs w:val="20"/>
          <w:color w:val="auto"/>
        </w:rPr>
      </w:pPr>
    </w:p>
    <w:p>
      <w:pPr>
        <w:jc w:val="both"/>
        <w:ind w:left="480" w:right="486" w:firstLine="559"/>
        <w:spacing w:after="0" w:line="478" w:lineRule="exact"/>
        <w:rPr>
          <w:sz w:val="20"/>
          <w:szCs w:val="20"/>
          <w:color w:val="auto"/>
        </w:rPr>
      </w:pPr>
      <w:r>
        <w:rPr>
          <w:rFonts w:ascii="宋体" w:cs="宋体" w:eastAsia="宋体" w:hAnsi="宋体"/>
          <w:sz w:val="27"/>
          <w:szCs w:val="27"/>
          <w:b w:val="1"/>
          <w:bCs w:val="1"/>
          <w:color w:val="auto"/>
        </w:rPr>
        <w:t>一、中国确认，已允许一家美国独资信用评级服务提供者对出售给国内外投资者的国内债券进行评级，包括为银行间债券市场进行评级。中国承诺继续允许美国服务提供者（包括美国独资信用评级服务提供者）对向国内外投资者出售的所有种类的国内债券进行</w:t>
      </w:r>
    </w:p>
    <w:p>
      <w:pPr>
        <w:spacing w:after="0" w:line="261" w:lineRule="exact"/>
        <w:rPr>
          <w:sz w:val="20"/>
          <w:szCs w:val="20"/>
          <w:color w:val="auto"/>
        </w:rPr>
      </w:pPr>
    </w:p>
    <w:p>
      <w:pPr>
        <w:jc w:val="both"/>
        <w:ind w:left="480" w:right="486"/>
        <w:spacing w:after="0" w:line="417" w:lineRule="exact"/>
        <w:rPr>
          <w:sz w:val="20"/>
          <w:szCs w:val="20"/>
          <w:color w:val="auto"/>
        </w:rPr>
      </w:pPr>
      <w:r>
        <w:rPr>
          <w:rFonts w:ascii="宋体" w:cs="宋体" w:eastAsia="宋体" w:hAnsi="宋体"/>
          <w:sz w:val="28"/>
          <w:szCs w:val="28"/>
          <w:b w:val="1"/>
          <w:bCs w:val="1"/>
          <w:color w:val="auto"/>
        </w:rPr>
        <w:t>评级。本协议生效后</w:t>
      </w:r>
      <w:r>
        <w:rPr>
          <w:rFonts w:ascii="Times New Roman" w:cs="Times New Roman" w:eastAsia="Times New Roman" w:hAnsi="Times New Roman"/>
          <w:sz w:val="28"/>
          <w:szCs w:val="28"/>
          <w:b w:val="1"/>
          <w:bCs w:val="1"/>
          <w:color w:val="auto"/>
        </w:rPr>
        <w:t>3</w:t>
      </w:r>
      <w:r>
        <w:rPr>
          <w:rFonts w:ascii="宋体" w:cs="宋体" w:eastAsia="宋体" w:hAnsi="宋体"/>
          <w:sz w:val="28"/>
          <w:szCs w:val="28"/>
          <w:b w:val="1"/>
          <w:bCs w:val="1"/>
          <w:color w:val="auto"/>
        </w:rPr>
        <w:t>个月内，中国应审核和批准美国服务提供者已提交的尚未批准的任何信用评级服务牌照申请。</w:t>
      </w:r>
    </w:p>
    <w:p>
      <w:pPr>
        <w:spacing w:after="0" w:line="200" w:lineRule="exact"/>
        <w:rPr>
          <w:sz w:val="20"/>
          <w:szCs w:val="20"/>
          <w:color w:val="auto"/>
        </w:rPr>
      </w:pPr>
    </w:p>
    <w:p>
      <w:pPr>
        <w:spacing w:after="0" w:line="281" w:lineRule="exact"/>
        <w:rPr>
          <w:sz w:val="20"/>
          <w:szCs w:val="20"/>
          <w:color w:val="auto"/>
        </w:rPr>
      </w:pPr>
    </w:p>
    <w:p>
      <w:pPr>
        <w:jc w:val="both"/>
        <w:ind w:left="480" w:right="486" w:firstLine="554"/>
        <w:spacing w:after="0" w:line="413" w:lineRule="exact"/>
        <w:rPr>
          <w:sz w:val="20"/>
          <w:szCs w:val="20"/>
          <w:color w:val="auto"/>
        </w:rPr>
      </w:pPr>
      <w:r>
        <w:rPr>
          <w:rFonts w:ascii="宋体" w:cs="宋体" w:eastAsia="宋体" w:hAnsi="宋体"/>
          <w:sz w:val="28"/>
          <w:szCs w:val="28"/>
          <w:b w:val="1"/>
          <w:bCs w:val="1"/>
          <w:color w:val="auto"/>
        </w:rPr>
        <w:t>二、每一方应允许对方的信用评级服务提供者在该提供者现有合资企业中获得多数股权。</w:t>
      </w:r>
    </w:p>
    <w:p>
      <w:pPr>
        <w:spacing w:after="0" w:line="200" w:lineRule="exact"/>
        <w:rPr>
          <w:sz w:val="20"/>
          <w:szCs w:val="20"/>
          <w:color w:val="auto"/>
        </w:rPr>
      </w:pPr>
    </w:p>
    <w:p>
      <w:pPr>
        <w:spacing w:after="0" w:line="242" w:lineRule="exact"/>
        <w:rPr>
          <w:sz w:val="20"/>
          <w:szCs w:val="20"/>
          <w:color w:val="auto"/>
        </w:rPr>
      </w:pPr>
    </w:p>
    <w:p>
      <w:pPr>
        <w:jc w:val="center"/>
        <w:ind w:right="-93"/>
        <w:spacing w:after="0" w:line="320" w:lineRule="exact"/>
        <w:rPr>
          <w:sz w:val="20"/>
          <w:szCs w:val="20"/>
          <w:color w:val="auto"/>
        </w:rPr>
      </w:pPr>
      <w:r>
        <w:rPr>
          <w:rFonts w:ascii="宋体" w:cs="宋体" w:eastAsia="宋体" w:hAnsi="宋体"/>
          <w:sz w:val="28"/>
          <w:szCs w:val="28"/>
          <w:b w:val="1"/>
          <w:bCs w:val="1"/>
          <w:color w:val="auto"/>
        </w:rPr>
        <w:t>三、美国确认给予中国信用评级服务提供者非歧视待遇。</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4.4</w:t>
      </w:r>
      <w:r>
        <w:rPr>
          <w:rFonts w:ascii="宋体" w:cs="宋体" w:eastAsia="宋体" w:hAnsi="宋体"/>
          <w:sz w:val="28"/>
          <w:szCs w:val="28"/>
          <w:b w:val="1"/>
          <w:bCs w:val="1"/>
          <w:color w:val="auto"/>
        </w:rPr>
        <w:t>条 电子支付服务</w:t>
      </w:r>
    </w:p>
    <w:p>
      <w:pPr>
        <w:spacing w:after="0" w:line="200" w:lineRule="exact"/>
        <w:rPr>
          <w:sz w:val="20"/>
          <w:szCs w:val="20"/>
          <w:color w:val="auto"/>
        </w:rPr>
      </w:pPr>
    </w:p>
    <w:p>
      <w:pPr>
        <w:spacing w:after="0" w:line="228"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一、中国在美国电子支付服务提供者，包括寻求以外商独资实</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体身份开展经营的提供者，提交筹建银行卡清算机构的任何相关申</w:t>
      </w:r>
    </w:p>
    <w:p>
      <w:pPr>
        <w:spacing w:after="0" w:line="239" w:lineRule="exact"/>
        <w:rPr>
          <w:sz w:val="20"/>
          <w:szCs w:val="20"/>
          <w:color w:val="auto"/>
        </w:rPr>
      </w:pPr>
    </w:p>
    <w:p>
      <w:pPr>
        <w:jc w:val="center"/>
        <w:ind w:right="6"/>
        <w:spacing w:after="0" w:line="329" w:lineRule="exact"/>
        <w:rPr>
          <w:sz w:val="20"/>
          <w:szCs w:val="20"/>
          <w:color w:val="auto"/>
        </w:rPr>
      </w:pPr>
      <w:r>
        <w:rPr>
          <w:rFonts w:ascii="宋体" w:cs="宋体" w:eastAsia="宋体" w:hAnsi="宋体"/>
          <w:sz w:val="27"/>
          <w:szCs w:val="27"/>
          <w:b w:val="1"/>
          <w:bCs w:val="1"/>
          <w:color w:val="auto"/>
        </w:rPr>
        <w:t>请后</w:t>
      </w:r>
      <w:r>
        <w:rPr>
          <w:rFonts w:ascii="Times New Roman" w:cs="Times New Roman" w:eastAsia="Times New Roman" w:hAnsi="Times New Roman"/>
          <w:sz w:val="27"/>
          <w:szCs w:val="27"/>
          <w:b w:val="1"/>
          <w:bCs w:val="1"/>
          <w:color w:val="auto"/>
        </w:rPr>
        <w:t>5</w:t>
      </w:r>
      <w:r>
        <w:rPr>
          <w:rFonts w:ascii="宋体" w:cs="宋体" w:eastAsia="宋体" w:hAnsi="宋体"/>
          <w:sz w:val="27"/>
          <w:szCs w:val="27"/>
          <w:b w:val="1"/>
          <w:bCs w:val="1"/>
          <w:color w:val="auto"/>
        </w:rPr>
        <w:t>个工作日内应予以受理，并可在这</w:t>
      </w:r>
      <w:r>
        <w:rPr>
          <w:rFonts w:ascii="Times New Roman" w:cs="Times New Roman" w:eastAsia="Times New Roman" w:hAnsi="Times New Roman"/>
          <w:sz w:val="27"/>
          <w:szCs w:val="27"/>
          <w:b w:val="1"/>
          <w:bCs w:val="1"/>
          <w:color w:val="auto"/>
        </w:rPr>
        <w:t>5</w:t>
      </w:r>
      <w:r>
        <w:rPr>
          <w:rFonts w:ascii="宋体" w:cs="宋体" w:eastAsia="宋体" w:hAnsi="宋体"/>
          <w:sz w:val="27"/>
          <w:szCs w:val="27"/>
          <w:b w:val="1"/>
          <w:bCs w:val="1"/>
          <w:color w:val="auto"/>
        </w:rPr>
        <w:t>个工作日内，一次性提出</w:t>
      </w:r>
    </w:p>
    <w:p>
      <w:pPr>
        <w:spacing w:after="0" w:line="215"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修改或补充信息的要求。在此情况下，中国在申请人对此要求作出</w:t>
      </w:r>
    </w:p>
    <w:p>
      <w:pPr>
        <w:spacing w:after="0" w:line="226"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回应后</w:t>
      </w:r>
      <w:r>
        <w:rPr>
          <w:rFonts w:ascii="Times New Roman" w:cs="Times New Roman" w:eastAsia="Times New Roman" w:hAnsi="Times New Roman"/>
          <w:sz w:val="28"/>
          <w:szCs w:val="28"/>
          <w:b w:val="1"/>
          <w:bCs w:val="1"/>
          <w:color w:val="auto"/>
        </w:rPr>
        <w:t>5</w:t>
      </w:r>
      <w:r>
        <w:rPr>
          <w:rFonts w:ascii="宋体" w:cs="宋体" w:eastAsia="宋体" w:hAnsi="宋体"/>
          <w:sz w:val="28"/>
          <w:szCs w:val="28"/>
          <w:b w:val="1"/>
          <w:bCs w:val="1"/>
          <w:color w:val="auto"/>
        </w:rPr>
        <w:t>个工作日内应受理申请。中国在受理后</w:t>
      </w:r>
      <w:r>
        <w:rPr>
          <w:rFonts w:ascii="Times New Roman" w:cs="Times New Roman" w:eastAsia="Times New Roman" w:hAnsi="Times New Roman"/>
          <w:sz w:val="28"/>
          <w:szCs w:val="28"/>
          <w:b w:val="1"/>
          <w:bCs w:val="1"/>
          <w:color w:val="auto"/>
        </w:rPr>
        <w:t>90</w:t>
      </w:r>
      <w:r>
        <w:rPr>
          <w:rFonts w:ascii="宋体" w:cs="宋体" w:eastAsia="宋体" w:hAnsi="宋体"/>
          <w:sz w:val="28"/>
          <w:szCs w:val="28"/>
          <w:b w:val="1"/>
          <w:bCs w:val="1"/>
          <w:color w:val="auto"/>
        </w:rPr>
        <w:t>个工作日内应就</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4-2</w:t>
      </w:r>
    </w:p>
    <w:p>
      <w:pPr>
        <w:sectPr>
          <w:pgSz w:w="11900" w:h="16838" w:orient="portrait"/>
          <w:cols w:equalWidth="0" w:num="1">
            <w:col w:w="9026"/>
          </w:cols>
          <w:pgMar w:left="1440" w:top="1440" w:right="1440" w:bottom="435" w:gutter="0" w:footer="0" w:header="0"/>
          <w:type w:val="continuous"/>
        </w:sectPr>
      </w:pPr>
    </w:p>
    <w:bookmarkStart w:id="67" w:name="page68"/>
    <w:bookmarkEnd w:id="67"/>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该申请做出决定，包括对不利决定给予解释。</w:t>
      </w:r>
    </w:p>
    <w:p>
      <w:pPr>
        <w:spacing w:after="0" w:line="200" w:lineRule="exact"/>
        <w:rPr>
          <w:sz w:val="20"/>
          <w:szCs w:val="20"/>
          <w:color w:val="auto"/>
        </w:rPr>
      </w:pPr>
    </w:p>
    <w:p>
      <w:pPr>
        <w:spacing w:after="0" w:line="272" w:lineRule="exact"/>
        <w:rPr>
          <w:sz w:val="20"/>
          <w:szCs w:val="20"/>
          <w:color w:val="auto"/>
        </w:rPr>
      </w:pPr>
    </w:p>
    <w:p>
      <w:pPr>
        <w:jc w:val="both"/>
        <w:ind w:left="480" w:right="486" w:firstLine="552"/>
        <w:spacing w:after="0" w:line="480" w:lineRule="exact"/>
        <w:rPr>
          <w:sz w:val="20"/>
          <w:szCs w:val="20"/>
          <w:color w:val="auto"/>
        </w:rPr>
      </w:pPr>
      <w:r>
        <w:rPr>
          <w:rFonts w:ascii="宋体" w:cs="宋体" w:eastAsia="宋体" w:hAnsi="宋体"/>
          <w:sz w:val="28"/>
          <w:szCs w:val="28"/>
          <w:b w:val="1"/>
          <w:bCs w:val="1"/>
          <w:color w:val="auto"/>
        </w:rPr>
        <w:t>二、中国在美国服务提供者报告其已完成筹备工作后不迟于</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个月内，应受理此服务提供者的牌照申请，包括万事达、维萨或美国运通的任何牌照申请，并应就该申请做出决定，包括对不利决定给予解释。</w:t>
      </w:r>
    </w:p>
    <w:p>
      <w:pPr>
        <w:spacing w:after="0" w:line="200" w:lineRule="exact"/>
        <w:rPr>
          <w:sz w:val="20"/>
          <w:szCs w:val="20"/>
          <w:color w:val="auto"/>
        </w:rPr>
      </w:pPr>
    </w:p>
    <w:p>
      <w:pPr>
        <w:spacing w:after="0" w:line="287"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三、美国确认给予中国电子支付服务提供者（包括银联）非歧视待遇。</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4.5</w:t>
      </w:r>
      <w:r>
        <w:rPr>
          <w:rFonts w:ascii="宋体" w:cs="宋体" w:eastAsia="宋体" w:hAnsi="宋体"/>
          <w:sz w:val="28"/>
          <w:szCs w:val="28"/>
          <w:b w:val="1"/>
          <w:bCs w:val="1"/>
          <w:color w:val="auto"/>
        </w:rPr>
        <w:t>条 金融资产管理（不良债务）服务</w:t>
      </w:r>
    </w:p>
    <w:p>
      <w:pPr>
        <w:spacing w:after="0" w:line="200" w:lineRule="exact"/>
        <w:rPr>
          <w:sz w:val="20"/>
          <w:szCs w:val="20"/>
          <w:color w:val="auto"/>
        </w:rPr>
      </w:pPr>
    </w:p>
    <w:p>
      <w:pPr>
        <w:spacing w:after="0" w:line="259" w:lineRule="exact"/>
        <w:rPr>
          <w:sz w:val="20"/>
          <w:szCs w:val="20"/>
          <w:color w:val="auto"/>
        </w:rPr>
      </w:pPr>
    </w:p>
    <w:p>
      <w:pPr>
        <w:jc w:val="both"/>
        <w:ind w:left="480" w:right="486" w:firstLine="559"/>
        <w:spacing w:after="0" w:line="412" w:lineRule="exact"/>
        <w:rPr>
          <w:sz w:val="20"/>
          <w:szCs w:val="20"/>
          <w:color w:val="auto"/>
        </w:rPr>
      </w:pPr>
      <w:r>
        <w:rPr>
          <w:rFonts w:ascii="宋体" w:cs="宋体" w:eastAsia="宋体" w:hAnsi="宋体"/>
          <w:sz w:val="28"/>
          <w:szCs w:val="28"/>
          <w:b w:val="1"/>
          <w:bCs w:val="1"/>
          <w:color w:val="auto"/>
        </w:rPr>
        <w:t>一、双方承认在不良债务服务领域存在互利互惠的机会，愿共同在该领域促成更多机会。</w:t>
      </w:r>
    </w:p>
    <w:p>
      <w:pPr>
        <w:spacing w:after="0" w:line="200" w:lineRule="exact"/>
        <w:rPr>
          <w:sz w:val="20"/>
          <w:szCs w:val="20"/>
          <w:color w:val="auto"/>
        </w:rPr>
      </w:pPr>
    </w:p>
    <w:p>
      <w:pPr>
        <w:spacing w:after="0" w:line="286" w:lineRule="exact"/>
        <w:rPr>
          <w:sz w:val="20"/>
          <w:szCs w:val="20"/>
          <w:color w:val="auto"/>
        </w:rPr>
      </w:pPr>
    </w:p>
    <w:p>
      <w:pPr>
        <w:jc w:val="both"/>
        <w:ind w:left="480" w:right="486" w:firstLine="554"/>
        <w:spacing w:after="0" w:line="478" w:lineRule="exact"/>
        <w:rPr>
          <w:sz w:val="20"/>
          <w:szCs w:val="20"/>
          <w:color w:val="auto"/>
        </w:rPr>
      </w:pPr>
      <w:r>
        <w:rPr>
          <w:rFonts w:ascii="宋体" w:cs="宋体" w:eastAsia="宋体" w:hAnsi="宋体"/>
          <w:sz w:val="28"/>
          <w:szCs w:val="28"/>
          <w:b w:val="1"/>
          <w:bCs w:val="1"/>
          <w:color w:val="auto"/>
        </w:rPr>
        <w:t>二、中国应允许美国金融服务提供者从省辖范围牌照开始申请资产管理公司牌照，使其可直接从中资银行收购不良贷款。中国在授予新增的全国范围牌照时，对中美金融服务提供者一视同仁，包括对上述牌照的授予。</w:t>
      </w:r>
    </w:p>
    <w:p>
      <w:pPr>
        <w:spacing w:after="0" w:line="200" w:lineRule="exact"/>
        <w:rPr>
          <w:sz w:val="20"/>
          <w:szCs w:val="20"/>
          <w:color w:val="auto"/>
        </w:rPr>
      </w:pPr>
    </w:p>
    <w:p>
      <w:pPr>
        <w:spacing w:after="0" w:line="285" w:lineRule="exact"/>
        <w:rPr>
          <w:sz w:val="20"/>
          <w:szCs w:val="20"/>
          <w:color w:val="auto"/>
        </w:rPr>
      </w:pPr>
    </w:p>
    <w:p>
      <w:pPr>
        <w:jc w:val="both"/>
        <w:ind w:left="480" w:right="486" w:firstLine="554"/>
        <w:spacing w:after="0" w:line="412" w:lineRule="exact"/>
        <w:rPr>
          <w:sz w:val="20"/>
          <w:szCs w:val="20"/>
          <w:color w:val="auto"/>
        </w:rPr>
      </w:pPr>
      <w:r>
        <w:rPr>
          <w:rFonts w:ascii="宋体" w:cs="宋体" w:eastAsia="宋体" w:hAnsi="宋体"/>
          <w:sz w:val="28"/>
          <w:szCs w:val="28"/>
          <w:b w:val="1"/>
          <w:bCs w:val="1"/>
          <w:color w:val="auto"/>
        </w:rPr>
        <w:t>三、美国将继续允许中国金融服务提供者在美参与不良贷款的收购和处置。</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4.6</w:t>
      </w:r>
      <w:r>
        <w:rPr>
          <w:rFonts w:ascii="宋体" w:cs="宋体" w:eastAsia="宋体" w:hAnsi="宋体"/>
          <w:sz w:val="28"/>
          <w:szCs w:val="28"/>
          <w:b w:val="1"/>
          <w:bCs w:val="1"/>
          <w:color w:val="auto"/>
        </w:rPr>
        <w:t>条 保险服务</w:t>
      </w:r>
    </w:p>
    <w:p>
      <w:pPr>
        <w:spacing w:after="0" w:line="200" w:lineRule="exact"/>
        <w:rPr>
          <w:sz w:val="20"/>
          <w:szCs w:val="20"/>
          <w:color w:val="auto"/>
        </w:rPr>
      </w:pPr>
    </w:p>
    <w:p>
      <w:pPr>
        <w:spacing w:after="0" w:line="251" w:lineRule="exact"/>
        <w:rPr>
          <w:sz w:val="20"/>
          <w:szCs w:val="20"/>
          <w:color w:val="auto"/>
        </w:rPr>
      </w:pPr>
    </w:p>
    <w:p>
      <w:pPr>
        <w:jc w:val="both"/>
        <w:ind w:left="480" w:right="486" w:firstLine="552"/>
        <w:spacing w:after="0" w:line="458" w:lineRule="exact"/>
        <w:rPr>
          <w:sz w:val="20"/>
          <w:szCs w:val="20"/>
          <w:color w:val="auto"/>
        </w:rPr>
      </w:pPr>
      <w:r>
        <w:rPr>
          <w:rFonts w:ascii="宋体" w:cs="宋体" w:eastAsia="宋体" w:hAnsi="宋体"/>
          <w:sz w:val="27"/>
          <w:szCs w:val="27"/>
          <w:b w:val="1"/>
          <w:bCs w:val="1"/>
          <w:color w:val="auto"/>
        </w:rPr>
        <w:t>一、中国不迟于</w:t>
      </w:r>
      <w:r>
        <w:rPr>
          <w:rFonts w:ascii="Times New Roman" w:cs="Times New Roman" w:eastAsia="Times New Roman" w:hAnsi="Times New Roman"/>
          <w:sz w:val="27"/>
          <w:szCs w:val="27"/>
          <w:b w:val="1"/>
          <w:bCs w:val="1"/>
          <w:color w:val="auto"/>
        </w:rPr>
        <w:t>2020</w:t>
      </w:r>
      <w:r>
        <w:rPr>
          <w:rFonts w:ascii="宋体" w:cs="宋体" w:eastAsia="宋体" w:hAnsi="宋体"/>
          <w:sz w:val="27"/>
          <w:szCs w:val="27"/>
          <w:b w:val="1"/>
          <w:bCs w:val="1"/>
          <w:color w:val="auto"/>
        </w:rPr>
        <w:t>年</w:t>
      </w:r>
      <w:r>
        <w:rPr>
          <w:rFonts w:ascii="Times New Roman" w:cs="Times New Roman" w:eastAsia="Times New Roman" w:hAnsi="Times New Roman"/>
          <w:sz w:val="27"/>
          <w:szCs w:val="27"/>
          <w:b w:val="1"/>
          <w:bCs w:val="1"/>
          <w:color w:val="auto"/>
        </w:rPr>
        <w:t>4</w:t>
      </w:r>
      <w:r>
        <w:rPr>
          <w:rFonts w:ascii="宋体" w:cs="宋体" w:eastAsia="宋体" w:hAnsi="宋体"/>
          <w:sz w:val="27"/>
          <w:szCs w:val="27"/>
          <w:b w:val="1"/>
          <w:bCs w:val="1"/>
          <w:color w:val="auto"/>
        </w:rPr>
        <w:t>月</w:t>
      </w:r>
      <w:r>
        <w:rPr>
          <w:rFonts w:ascii="Times New Roman" w:cs="Times New Roman" w:eastAsia="Times New Roman" w:hAnsi="Times New Roman"/>
          <w:sz w:val="27"/>
          <w:szCs w:val="27"/>
          <w:b w:val="1"/>
          <w:bCs w:val="1"/>
          <w:color w:val="auto"/>
        </w:rPr>
        <w:t>1</w:t>
      </w:r>
      <w:r>
        <w:rPr>
          <w:rFonts w:ascii="宋体" w:cs="宋体" w:eastAsia="宋体" w:hAnsi="宋体"/>
          <w:sz w:val="27"/>
          <w:szCs w:val="27"/>
          <w:b w:val="1"/>
          <w:bCs w:val="1"/>
          <w:color w:val="auto"/>
        </w:rPr>
        <w:t>日，应取消寿险、养老保险和健康保险领域的外资股比限制，并且允许美国独资保险公司进入上述领域。中国确认不对在中国境内设立的美资保险公司在华全资拥有保</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4-3</w:t>
      </w:r>
    </w:p>
    <w:p>
      <w:pPr>
        <w:sectPr>
          <w:pgSz w:w="11900" w:h="16838" w:orient="portrait"/>
          <w:cols w:equalWidth="0" w:num="1">
            <w:col w:w="9026"/>
          </w:cols>
          <w:pgMar w:left="1440" w:top="1440" w:right="1440" w:bottom="435" w:gutter="0" w:footer="0" w:header="0"/>
        </w:sectPr>
      </w:pPr>
    </w:p>
    <w:bookmarkStart w:id="68" w:name="page69"/>
    <w:bookmarkEnd w:id="68"/>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险资产管理公司设置限制。</w:t>
      </w:r>
    </w:p>
    <w:p>
      <w:pPr>
        <w:spacing w:after="0" w:line="200" w:lineRule="exact"/>
        <w:rPr>
          <w:sz w:val="20"/>
          <w:szCs w:val="20"/>
          <w:color w:val="auto"/>
        </w:rPr>
      </w:pPr>
    </w:p>
    <w:p>
      <w:pPr>
        <w:spacing w:after="0" w:line="252" w:lineRule="exact"/>
        <w:rPr>
          <w:sz w:val="20"/>
          <w:szCs w:val="20"/>
          <w:color w:val="auto"/>
        </w:rPr>
      </w:pPr>
    </w:p>
    <w:p>
      <w:pPr>
        <w:ind w:left="1040"/>
        <w:spacing w:after="0" w:line="329" w:lineRule="exact"/>
        <w:rPr>
          <w:sz w:val="20"/>
          <w:szCs w:val="20"/>
          <w:color w:val="auto"/>
        </w:rPr>
      </w:pPr>
      <w:r>
        <w:rPr>
          <w:rFonts w:ascii="宋体" w:cs="宋体" w:eastAsia="宋体" w:hAnsi="宋体"/>
          <w:sz w:val="27"/>
          <w:szCs w:val="27"/>
          <w:b w:val="1"/>
          <w:bCs w:val="1"/>
          <w:color w:val="auto"/>
        </w:rPr>
        <w:t>二、中国不迟于</w:t>
      </w:r>
      <w:r>
        <w:rPr>
          <w:rFonts w:ascii="Times New Roman" w:cs="Times New Roman" w:eastAsia="Times New Roman" w:hAnsi="Times New Roman"/>
          <w:sz w:val="27"/>
          <w:szCs w:val="27"/>
          <w:b w:val="1"/>
          <w:bCs w:val="1"/>
          <w:color w:val="auto"/>
        </w:rPr>
        <w:t>2020</w:t>
      </w:r>
      <w:r>
        <w:rPr>
          <w:rFonts w:ascii="宋体" w:cs="宋体" w:eastAsia="宋体" w:hAnsi="宋体"/>
          <w:sz w:val="27"/>
          <w:szCs w:val="27"/>
          <w:b w:val="1"/>
          <w:bCs w:val="1"/>
          <w:color w:val="auto"/>
        </w:rPr>
        <w:t>年</w:t>
      </w:r>
      <w:r>
        <w:rPr>
          <w:rFonts w:ascii="Times New Roman" w:cs="Times New Roman" w:eastAsia="Times New Roman" w:hAnsi="Times New Roman"/>
          <w:sz w:val="27"/>
          <w:szCs w:val="27"/>
          <w:b w:val="1"/>
          <w:bCs w:val="1"/>
          <w:color w:val="auto"/>
        </w:rPr>
        <w:t>4</w:t>
      </w:r>
      <w:r>
        <w:rPr>
          <w:rFonts w:ascii="宋体" w:cs="宋体" w:eastAsia="宋体" w:hAnsi="宋体"/>
          <w:sz w:val="27"/>
          <w:szCs w:val="27"/>
          <w:b w:val="1"/>
          <w:bCs w:val="1"/>
          <w:color w:val="auto"/>
        </w:rPr>
        <w:t>月</w:t>
      </w:r>
      <w:r>
        <w:rPr>
          <w:rFonts w:ascii="Times New Roman" w:cs="Times New Roman" w:eastAsia="Times New Roman" w:hAnsi="Times New Roman"/>
          <w:sz w:val="27"/>
          <w:szCs w:val="27"/>
          <w:b w:val="1"/>
          <w:bCs w:val="1"/>
          <w:color w:val="auto"/>
        </w:rPr>
        <w:t>1</w:t>
      </w:r>
      <w:r>
        <w:rPr>
          <w:rFonts w:ascii="宋体" w:cs="宋体" w:eastAsia="宋体" w:hAnsi="宋体"/>
          <w:sz w:val="27"/>
          <w:szCs w:val="27"/>
          <w:b w:val="1"/>
          <w:bCs w:val="1"/>
          <w:color w:val="auto"/>
        </w:rPr>
        <w:t>日，应取消对所有保险领域（包括</w:t>
      </w:r>
    </w:p>
    <w:p>
      <w:pPr>
        <w:spacing w:after="0" w:line="215"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保险中介）的经营范围限制、歧视性监管流程和要求，以及过于繁</w:t>
      </w:r>
    </w:p>
    <w:p>
      <w:pPr>
        <w:spacing w:after="0" w:line="237" w:lineRule="exact"/>
        <w:rPr>
          <w:sz w:val="20"/>
          <w:szCs w:val="20"/>
          <w:color w:val="auto"/>
        </w:rPr>
      </w:pPr>
    </w:p>
    <w:p>
      <w:pPr>
        <w:jc w:val="center"/>
        <w:ind w:right="6"/>
        <w:spacing w:after="0" w:line="308" w:lineRule="exact"/>
        <w:rPr>
          <w:sz w:val="20"/>
          <w:szCs w:val="20"/>
          <w:color w:val="auto"/>
        </w:rPr>
      </w:pPr>
      <w:r>
        <w:rPr>
          <w:rFonts w:ascii="宋体" w:cs="宋体" w:eastAsia="宋体" w:hAnsi="宋体"/>
          <w:sz w:val="27"/>
          <w:szCs w:val="27"/>
          <w:b w:val="1"/>
          <w:bCs w:val="1"/>
          <w:color w:val="auto"/>
        </w:rPr>
        <w:t>重的许可和经营要求，并应及时审核和批准美国金融服务提供者提</w:t>
      </w:r>
    </w:p>
    <w:p>
      <w:pPr>
        <w:spacing w:after="0" w:line="237" w:lineRule="exact"/>
        <w:rPr>
          <w:sz w:val="20"/>
          <w:szCs w:val="20"/>
          <w:color w:val="auto"/>
        </w:rPr>
      </w:pPr>
    </w:p>
    <w:p>
      <w:pPr>
        <w:ind w:left="480"/>
        <w:spacing w:after="0" w:line="308" w:lineRule="exact"/>
        <w:rPr>
          <w:sz w:val="20"/>
          <w:szCs w:val="20"/>
          <w:color w:val="auto"/>
        </w:rPr>
      </w:pPr>
      <w:r>
        <w:rPr>
          <w:rFonts w:ascii="宋体" w:cs="宋体" w:eastAsia="宋体" w:hAnsi="宋体"/>
          <w:sz w:val="27"/>
          <w:szCs w:val="27"/>
          <w:b w:val="1"/>
          <w:bCs w:val="1"/>
          <w:color w:val="auto"/>
        </w:rPr>
        <w:t>交的任何保险服务牌照申请。根据上述承诺，中国确认已取消关于</w:t>
      </w:r>
    </w:p>
    <w:p>
      <w:pPr>
        <w:spacing w:after="0" w:line="229"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新设立外资保险公司</w:t>
      </w:r>
      <w:r>
        <w:rPr>
          <w:rFonts w:ascii="Times New Roman" w:cs="Times New Roman" w:eastAsia="Times New Roman" w:hAnsi="Times New Roman"/>
          <w:sz w:val="28"/>
          <w:szCs w:val="28"/>
          <w:b w:val="1"/>
          <w:bCs w:val="1"/>
          <w:color w:val="auto"/>
        </w:rPr>
        <w:t>30</w:t>
      </w:r>
      <w:r>
        <w:rPr>
          <w:rFonts w:ascii="宋体" w:cs="宋体" w:eastAsia="宋体" w:hAnsi="宋体"/>
          <w:sz w:val="28"/>
          <w:szCs w:val="28"/>
          <w:b w:val="1"/>
          <w:bCs w:val="1"/>
          <w:color w:val="auto"/>
        </w:rPr>
        <w:t>年保险业务经营资历的要求。</w:t>
      </w:r>
    </w:p>
    <w:p>
      <w:pPr>
        <w:spacing w:after="0" w:line="200" w:lineRule="exact"/>
        <w:rPr>
          <w:sz w:val="20"/>
          <w:szCs w:val="20"/>
          <w:color w:val="auto"/>
        </w:rPr>
      </w:pPr>
    </w:p>
    <w:p>
      <w:pPr>
        <w:spacing w:after="0" w:line="229"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三、美国承认目前有中国再保险集团等中国机构的申请尚未批</w:t>
      </w:r>
    </w:p>
    <w:p>
      <w:pPr>
        <w:spacing w:after="0" w:line="22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准，并确认将及时考虑此类申请。</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4.7</w:t>
      </w:r>
      <w:r>
        <w:rPr>
          <w:rFonts w:ascii="宋体" w:cs="宋体" w:eastAsia="宋体" w:hAnsi="宋体"/>
          <w:sz w:val="28"/>
          <w:szCs w:val="28"/>
          <w:b w:val="1"/>
          <w:bCs w:val="1"/>
          <w:color w:val="auto"/>
        </w:rPr>
        <w:t>条 证券、基金管理和期货服务</w:t>
      </w:r>
    </w:p>
    <w:p>
      <w:pPr>
        <w:spacing w:after="0" w:line="200" w:lineRule="exact"/>
        <w:rPr>
          <w:sz w:val="20"/>
          <w:szCs w:val="20"/>
          <w:color w:val="auto"/>
        </w:rPr>
      </w:pPr>
    </w:p>
    <w:p>
      <w:pPr>
        <w:spacing w:after="0" w:line="259" w:lineRule="exact"/>
        <w:rPr>
          <w:sz w:val="20"/>
          <w:szCs w:val="20"/>
          <w:color w:val="auto"/>
        </w:rPr>
      </w:pPr>
    </w:p>
    <w:p>
      <w:pPr>
        <w:jc w:val="both"/>
        <w:ind w:left="480" w:right="486" w:firstLine="562"/>
        <w:spacing w:after="0" w:line="478" w:lineRule="exact"/>
        <w:rPr>
          <w:sz w:val="20"/>
          <w:szCs w:val="20"/>
          <w:color w:val="auto"/>
        </w:rPr>
      </w:pPr>
      <w:r>
        <w:rPr>
          <w:rFonts w:ascii="宋体" w:cs="宋体" w:eastAsia="宋体" w:hAnsi="宋体"/>
          <w:sz w:val="28"/>
          <w:szCs w:val="28"/>
          <w:b w:val="1"/>
          <w:bCs w:val="1"/>
          <w:color w:val="auto"/>
        </w:rPr>
        <w:t>一、每一方应基于非歧视原则审核和批准对方金融机构的证券、基金管理或期货牌照的合格申请。双方确认对方拥有牌照的金融机构有权提供己方拥有牌照的金融机构在上述领域内获准提供的完整业务范围的服务。</w:t>
      </w:r>
    </w:p>
    <w:p>
      <w:pPr>
        <w:spacing w:after="0" w:line="200" w:lineRule="exact"/>
        <w:rPr>
          <w:sz w:val="20"/>
          <w:szCs w:val="20"/>
          <w:color w:val="auto"/>
        </w:rPr>
      </w:pPr>
    </w:p>
    <w:p>
      <w:pPr>
        <w:spacing w:after="0" w:line="256" w:lineRule="exact"/>
        <w:rPr>
          <w:sz w:val="20"/>
          <w:szCs w:val="20"/>
          <w:color w:val="auto"/>
        </w:rPr>
      </w:pPr>
    </w:p>
    <w:p>
      <w:pPr>
        <w:ind w:left="1040"/>
        <w:spacing w:after="0" w:line="329" w:lineRule="exact"/>
        <w:rPr>
          <w:sz w:val="20"/>
          <w:szCs w:val="20"/>
          <w:color w:val="auto"/>
        </w:rPr>
      </w:pPr>
      <w:r>
        <w:rPr>
          <w:rFonts w:ascii="宋体" w:cs="宋体" w:eastAsia="宋体" w:hAnsi="宋体"/>
          <w:sz w:val="27"/>
          <w:szCs w:val="27"/>
          <w:b w:val="1"/>
          <w:bCs w:val="1"/>
          <w:color w:val="auto"/>
        </w:rPr>
        <w:t>二、中国不迟于</w:t>
      </w:r>
      <w:r>
        <w:rPr>
          <w:rFonts w:ascii="Times New Roman" w:cs="Times New Roman" w:eastAsia="Times New Roman" w:hAnsi="Times New Roman"/>
          <w:sz w:val="27"/>
          <w:szCs w:val="27"/>
          <w:b w:val="1"/>
          <w:bCs w:val="1"/>
          <w:color w:val="auto"/>
        </w:rPr>
        <w:t>2020</w:t>
      </w:r>
      <w:r>
        <w:rPr>
          <w:rFonts w:ascii="宋体" w:cs="宋体" w:eastAsia="宋体" w:hAnsi="宋体"/>
          <w:sz w:val="27"/>
          <w:szCs w:val="27"/>
          <w:b w:val="1"/>
          <w:bCs w:val="1"/>
          <w:color w:val="auto"/>
        </w:rPr>
        <w:t>年</w:t>
      </w:r>
      <w:r>
        <w:rPr>
          <w:rFonts w:ascii="Times New Roman" w:cs="Times New Roman" w:eastAsia="Times New Roman" w:hAnsi="Times New Roman"/>
          <w:sz w:val="27"/>
          <w:szCs w:val="27"/>
          <w:b w:val="1"/>
          <w:bCs w:val="1"/>
          <w:color w:val="auto"/>
        </w:rPr>
        <w:t>4</w:t>
      </w:r>
      <w:r>
        <w:rPr>
          <w:rFonts w:ascii="宋体" w:cs="宋体" w:eastAsia="宋体" w:hAnsi="宋体"/>
          <w:sz w:val="27"/>
          <w:szCs w:val="27"/>
          <w:b w:val="1"/>
          <w:bCs w:val="1"/>
          <w:color w:val="auto"/>
        </w:rPr>
        <w:t>月</w:t>
      </w:r>
      <w:r>
        <w:rPr>
          <w:rFonts w:ascii="Times New Roman" w:cs="Times New Roman" w:eastAsia="Times New Roman" w:hAnsi="Times New Roman"/>
          <w:sz w:val="27"/>
          <w:szCs w:val="27"/>
          <w:b w:val="1"/>
          <w:bCs w:val="1"/>
          <w:color w:val="auto"/>
        </w:rPr>
        <w:t>1</w:t>
      </w:r>
      <w:r>
        <w:rPr>
          <w:rFonts w:ascii="宋体" w:cs="宋体" w:eastAsia="宋体" w:hAnsi="宋体"/>
          <w:sz w:val="27"/>
          <w:szCs w:val="27"/>
          <w:b w:val="1"/>
          <w:bCs w:val="1"/>
          <w:color w:val="auto"/>
        </w:rPr>
        <w:t>日，应取消外资股比限制并允许美</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国独资的服务提供者进入证券、基金管理和期货服务领域。</w:t>
      </w:r>
    </w:p>
    <w:p>
      <w:pPr>
        <w:spacing w:after="0" w:line="200" w:lineRule="exact"/>
        <w:rPr>
          <w:sz w:val="20"/>
          <w:szCs w:val="20"/>
          <w:color w:val="auto"/>
        </w:rPr>
      </w:pPr>
    </w:p>
    <w:p>
      <w:pPr>
        <w:spacing w:after="0" w:line="274" w:lineRule="exact"/>
        <w:rPr>
          <w:sz w:val="20"/>
          <w:szCs w:val="20"/>
          <w:color w:val="auto"/>
        </w:rPr>
      </w:pPr>
    </w:p>
    <w:p>
      <w:pPr>
        <w:jc w:val="both"/>
        <w:ind w:left="480" w:right="486" w:firstLine="562"/>
        <w:spacing w:after="0" w:line="416" w:lineRule="exact"/>
        <w:rPr>
          <w:sz w:val="20"/>
          <w:szCs w:val="20"/>
          <w:color w:val="auto"/>
        </w:rPr>
      </w:pPr>
      <w:r>
        <w:rPr>
          <w:rFonts w:ascii="宋体" w:cs="宋体" w:eastAsia="宋体" w:hAnsi="宋体"/>
          <w:sz w:val="28"/>
          <w:szCs w:val="28"/>
          <w:b w:val="1"/>
          <w:bCs w:val="1"/>
          <w:color w:val="auto"/>
        </w:rPr>
        <w:t>三、中国确认，从</w:t>
      </w:r>
      <w:r>
        <w:rPr>
          <w:rFonts w:ascii="Times New Roman" w:cs="Times New Roman" w:eastAsia="Times New Roman" w:hAnsi="Times New Roman"/>
          <w:sz w:val="28"/>
          <w:szCs w:val="28"/>
          <w:b w:val="1"/>
          <w:bCs w:val="1"/>
          <w:color w:val="auto"/>
        </w:rPr>
        <w:t>2019</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7</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5</w:t>
      </w:r>
      <w:r>
        <w:rPr>
          <w:rFonts w:ascii="宋体" w:cs="宋体" w:eastAsia="宋体" w:hAnsi="宋体"/>
          <w:sz w:val="28"/>
          <w:szCs w:val="28"/>
          <w:b w:val="1"/>
          <w:bCs w:val="1"/>
          <w:color w:val="auto"/>
        </w:rPr>
        <w:t>日起大幅降低对证券服务提供者控股股东的高额资产净值要求。</w:t>
      </w:r>
    </w:p>
    <w:p>
      <w:pPr>
        <w:spacing w:after="0" w:line="200" w:lineRule="exact"/>
        <w:rPr>
          <w:sz w:val="20"/>
          <w:szCs w:val="20"/>
          <w:color w:val="auto"/>
        </w:rPr>
      </w:pPr>
    </w:p>
    <w:p>
      <w:pPr>
        <w:spacing w:after="0" w:line="283"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四、中国确认，当现有美资参股的证券公司变为美资控制、美资控股或美资全资拥有时，允许其保留原持有牌照。</w:t>
      </w:r>
    </w:p>
    <w:p>
      <w:pPr>
        <w:spacing w:after="0" w:line="200" w:lineRule="exact"/>
        <w:rPr>
          <w:sz w:val="20"/>
          <w:szCs w:val="20"/>
          <w:color w:val="auto"/>
        </w:rPr>
      </w:pPr>
    </w:p>
    <w:p>
      <w:pPr>
        <w:spacing w:after="0" w:line="241"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五、双方应确保不存在针对对方私募基金管理人的歧视性限</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4-4</w:t>
      </w:r>
    </w:p>
    <w:p>
      <w:pPr>
        <w:sectPr>
          <w:pgSz w:w="11900" w:h="16838" w:orient="portrait"/>
          <w:cols w:equalWidth="0" w:num="1">
            <w:col w:w="9026"/>
          </w:cols>
          <w:pgMar w:left="1440" w:top="1440" w:right="1440" w:bottom="435" w:gutter="0" w:footer="0" w:header="0"/>
        </w:sectPr>
      </w:pPr>
    </w:p>
    <w:bookmarkStart w:id="69" w:name="page70"/>
    <w:bookmarkEnd w:id="69"/>
    <w:p>
      <w:pPr>
        <w:spacing w:after="0" w:line="200" w:lineRule="exact"/>
        <w:rPr>
          <w:sz w:val="20"/>
          <w:szCs w:val="20"/>
          <w:color w:val="auto"/>
        </w:rPr>
      </w:pPr>
    </w:p>
    <w:p>
      <w:pPr>
        <w:spacing w:after="0" w:line="200" w:lineRule="exact"/>
        <w:rPr>
          <w:sz w:val="20"/>
          <w:szCs w:val="20"/>
          <w:color w:val="auto"/>
        </w:rPr>
      </w:pPr>
    </w:p>
    <w:p>
      <w:pPr>
        <w:spacing w:after="0" w:line="346" w:lineRule="exact"/>
        <w:rPr>
          <w:sz w:val="20"/>
          <w:szCs w:val="20"/>
          <w:color w:val="auto"/>
        </w:rPr>
      </w:pPr>
    </w:p>
    <w:p>
      <w:pPr>
        <w:jc w:val="both"/>
        <w:ind w:left="480" w:right="486"/>
        <w:spacing w:after="0" w:line="459" w:lineRule="exact"/>
        <w:rPr>
          <w:sz w:val="20"/>
          <w:szCs w:val="20"/>
          <w:color w:val="auto"/>
        </w:rPr>
      </w:pPr>
      <w:r>
        <w:rPr>
          <w:rFonts w:ascii="宋体" w:cs="宋体" w:eastAsia="宋体" w:hAnsi="宋体"/>
          <w:sz w:val="28"/>
          <w:szCs w:val="28"/>
          <w:b w:val="1"/>
          <w:bCs w:val="1"/>
          <w:color w:val="auto"/>
        </w:rPr>
        <w:t>制。中国应确保不存在对美国私募基金管理人投资</w:t>
      </w:r>
      <w:r>
        <w:rPr>
          <w:rFonts w:ascii="Times New Roman" w:cs="Times New Roman" w:eastAsia="Times New Roman" w:hAnsi="Times New Roman"/>
          <w:sz w:val="28"/>
          <w:szCs w:val="28"/>
          <w:b w:val="1"/>
          <w:bCs w:val="1"/>
          <w:color w:val="auto"/>
        </w:rPr>
        <w:t>H</w:t>
      </w:r>
      <w:r>
        <w:rPr>
          <w:rFonts w:ascii="宋体" w:cs="宋体" w:eastAsia="宋体" w:hAnsi="宋体"/>
          <w:sz w:val="28"/>
          <w:szCs w:val="28"/>
          <w:b w:val="1"/>
          <w:bCs w:val="1"/>
          <w:color w:val="auto"/>
        </w:rPr>
        <w:t>股（即在港交所上市的中国内地企业的股票）的限制，合格的美资控股私募基金管理人应可基于个案处理方式获批提供投资咨询服务。</w:t>
      </w:r>
    </w:p>
    <w:p>
      <w:pPr>
        <w:spacing w:after="0" w:line="200" w:lineRule="exact"/>
        <w:rPr>
          <w:sz w:val="20"/>
          <w:szCs w:val="20"/>
          <w:color w:val="auto"/>
        </w:rPr>
      </w:pPr>
    </w:p>
    <w:p>
      <w:pPr>
        <w:spacing w:after="0" w:line="284" w:lineRule="exact"/>
        <w:rPr>
          <w:sz w:val="20"/>
          <w:szCs w:val="20"/>
          <w:color w:val="auto"/>
        </w:rPr>
      </w:pPr>
    </w:p>
    <w:p>
      <w:pPr>
        <w:jc w:val="both"/>
        <w:ind w:left="480" w:right="486" w:firstLine="562"/>
        <w:spacing w:after="0" w:line="457" w:lineRule="exact"/>
        <w:rPr>
          <w:sz w:val="20"/>
          <w:szCs w:val="20"/>
          <w:color w:val="auto"/>
        </w:rPr>
      </w:pPr>
      <w:r>
        <w:rPr>
          <w:rFonts w:ascii="宋体" w:cs="宋体" w:eastAsia="宋体" w:hAnsi="宋体"/>
          <w:sz w:val="28"/>
          <w:szCs w:val="28"/>
          <w:b w:val="1"/>
          <w:bCs w:val="1"/>
          <w:color w:val="auto"/>
        </w:rPr>
        <w:t>六、双方确认在期货产品方面不存在针对对方机构的歧视性限制，包括允许对方机构投资己方国内机构获准投资的完整业务范围的期货产品（包括金融、利率和汇率期货）。</w:t>
      </w:r>
    </w:p>
    <w:p>
      <w:pPr>
        <w:spacing w:after="0" w:line="200" w:lineRule="exact"/>
        <w:rPr>
          <w:sz w:val="20"/>
          <w:szCs w:val="20"/>
          <w:color w:val="auto"/>
        </w:rPr>
      </w:pPr>
    </w:p>
    <w:p>
      <w:pPr>
        <w:spacing w:after="0" w:line="282" w:lineRule="exact"/>
        <w:rPr>
          <w:sz w:val="20"/>
          <w:szCs w:val="20"/>
          <w:color w:val="auto"/>
        </w:rPr>
      </w:pPr>
    </w:p>
    <w:p>
      <w:pPr>
        <w:jc w:val="both"/>
        <w:ind w:left="480" w:right="486" w:firstLine="643"/>
        <w:spacing w:after="0" w:line="412" w:lineRule="exact"/>
        <w:rPr>
          <w:sz w:val="20"/>
          <w:szCs w:val="20"/>
          <w:color w:val="auto"/>
        </w:rPr>
      </w:pPr>
      <w:r>
        <w:rPr>
          <w:rFonts w:ascii="宋体" w:cs="宋体" w:eastAsia="宋体" w:hAnsi="宋体"/>
          <w:sz w:val="28"/>
          <w:szCs w:val="28"/>
          <w:b w:val="1"/>
          <w:bCs w:val="1"/>
          <w:color w:val="auto"/>
        </w:rPr>
        <w:t>七、美国承认目前有中国国际金融股份有限公司等中国机构的申请尚未批准，并确认将及时考虑此类申请。</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4-5</w:t>
      </w:r>
    </w:p>
    <w:p>
      <w:pPr>
        <w:sectPr>
          <w:pgSz w:w="11900" w:h="16838" w:orient="portrait"/>
          <w:cols w:equalWidth="0" w:num="1">
            <w:col w:w="9026"/>
          </w:cols>
          <w:pgMar w:left="1440" w:top="1440" w:right="1440" w:bottom="435" w:gutter="0" w:footer="0" w:header="0"/>
          <w:type w:val="continuous"/>
        </w:sectPr>
      </w:pPr>
    </w:p>
    <w:bookmarkStart w:id="70" w:name="page71"/>
    <w:bookmarkEnd w:id="7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第五章 宏观经济政策、汇率问题和透明度</w:t>
      </w:r>
    </w:p>
    <w:p>
      <w:pPr>
        <w:spacing w:after="0" w:line="200" w:lineRule="exact"/>
        <w:rPr>
          <w:sz w:val="20"/>
          <w:szCs w:val="20"/>
          <w:color w:val="auto"/>
        </w:rPr>
      </w:pPr>
    </w:p>
    <w:p>
      <w:pPr>
        <w:spacing w:after="0" w:line="260"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5.1</w:t>
      </w:r>
      <w:r>
        <w:rPr>
          <w:rFonts w:ascii="宋体" w:cs="宋体" w:eastAsia="宋体" w:hAnsi="宋体"/>
          <w:sz w:val="28"/>
          <w:szCs w:val="28"/>
          <w:b w:val="1"/>
          <w:bCs w:val="1"/>
          <w:color w:val="auto"/>
        </w:rPr>
        <w:t>条 总 则</w:t>
      </w:r>
    </w:p>
    <w:p>
      <w:pPr>
        <w:spacing w:after="0" w:line="200" w:lineRule="exact"/>
        <w:rPr>
          <w:sz w:val="20"/>
          <w:szCs w:val="20"/>
          <w:color w:val="auto"/>
        </w:rPr>
      </w:pPr>
    </w:p>
    <w:p>
      <w:pPr>
        <w:spacing w:after="0" w:line="259" w:lineRule="exact"/>
        <w:rPr>
          <w:sz w:val="20"/>
          <w:szCs w:val="20"/>
          <w:color w:val="auto"/>
        </w:rPr>
      </w:pPr>
    </w:p>
    <w:p>
      <w:pPr>
        <w:ind w:left="480" w:right="686" w:firstLine="552"/>
        <w:spacing w:after="0" w:line="412" w:lineRule="exact"/>
        <w:rPr>
          <w:sz w:val="20"/>
          <w:szCs w:val="20"/>
          <w:color w:val="auto"/>
        </w:rPr>
      </w:pPr>
      <w:r>
        <w:rPr>
          <w:rFonts w:ascii="宋体" w:cs="宋体" w:eastAsia="宋体" w:hAnsi="宋体"/>
          <w:sz w:val="28"/>
          <w:szCs w:val="28"/>
          <w:b w:val="1"/>
          <w:bCs w:val="1"/>
          <w:color w:val="auto"/>
        </w:rPr>
        <w:t>一、每一方应彼此尊重对方依据国内法律行使货币政策自主权。</w:t>
      </w:r>
    </w:p>
    <w:p>
      <w:pPr>
        <w:spacing w:after="0" w:line="200" w:lineRule="exact"/>
        <w:rPr>
          <w:sz w:val="20"/>
          <w:szCs w:val="20"/>
          <w:color w:val="auto"/>
        </w:rPr>
      </w:pPr>
    </w:p>
    <w:p>
      <w:pPr>
        <w:spacing w:after="0" w:line="286" w:lineRule="exact"/>
        <w:rPr>
          <w:sz w:val="20"/>
          <w:szCs w:val="20"/>
          <w:color w:val="auto"/>
        </w:rPr>
      </w:pPr>
    </w:p>
    <w:p>
      <w:pPr>
        <w:jc w:val="both"/>
        <w:ind w:left="480" w:right="486" w:firstLine="552"/>
        <w:spacing w:after="0" w:line="478" w:lineRule="exact"/>
        <w:rPr>
          <w:sz w:val="20"/>
          <w:szCs w:val="20"/>
          <w:color w:val="auto"/>
        </w:rPr>
      </w:pPr>
      <w:r>
        <w:rPr>
          <w:rFonts w:ascii="宋体" w:cs="宋体" w:eastAsia="宋体" w:hAnsi="宋体"/>
          <w:sz w:val="28"/>
          <w:szCs w:val="28"/>
          <w:b w:val="1"/>
          <w:bCs w:val="1"/>
          <w:color w:val="auto"/>
        </w:rPr>
        <w:t>二、双方认识到，强劲的经济基本面、稳健的政策和具有韧性的国际货币体系对于汇率稳定至关重要，从而促进强劲、可持续的经济增长和投资。实行灵活汇率制度在可行的情况下能够起到吸收冲击的作用。</w:t>
      </w:r>
    </w:p>
    <w:p>
      <w:pPr>
        <w:spacing w:after="0" w:line="200" w:lineRule="exact"/>
        <w:rPr>
          <w:sz w:val="20"/>
          <w:szCs w:val="20"/>
          <w:color w:val="auto"/>
        </w:rPr>
      </w:pPr>
    </w:p>
    <w:p>
      <w:pPr>
        <w:spacing w:after="0" w:line="284" w:lineRule="exact"/>
        <w:rPr>
          <w:sz w:val="20"/>
          <w:szCs w:val="20"/>
          <w:color w:val="auto"/>
        </w:rPr>
      </w:pPr>
    </w:p>
    <w:p>
      <w:pPr>
        <w:ind w:left="480" w:right="386" w:firstLine="552"/>
        <w:spacing w:after="0" w:line="412" w:lineRule="exact"/>
        <w:rPr>
          <w:sz w:val="20"/>
          <w:szCs w:val="20"/>
          <w:color w:val="auto"/>
        </w:rPr>
      </w:pPr>
      <w:r>
        <w:rPr>
          <w:rFonts w:ascii="宋体" w:cs="宋体" w:eastAsia="宋体" w:hAnsi="宋体"/>
          <w:sz w:val="28"/>
          <w:szCs w:val="28"/>
          <w:b w:val="1"/>
          <w:bCs w:val="1"/>
          <w:color w:val="auto"/>
        </w:rPr>
        <w:t>三、双方共同的目标是奉行增强经济基本面，促进经济增长，提升透明度并避免不可持续的外部失衡的政策。</w:t>
      </w:r>
    </w:p>
    <w:p>
      <w:pPr>
        <w:spacing w:after="0" w:line="200" w:lineRule="exact"/>
        <w:rPr>
          <w:sz w:val="20"/>
          <w:szCs w:val="20"/>
          <w:color w:val="auto"/>
        </w:rPr>
      </w:pPr>
    </w:p>
    <w:p>
      <w:pPr>
        <w:spacing w:after="0" w:line="243"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四、双方应恪守各自在</w:t>
      </w:r>
      <w:r>
        <w:rPr>
          <w:rFonts w:ascii="Times New Roman" w:cs="Times New Roman" w:eastAsia="Times New Roman" w:hAnsi="Times New Roman"/>
          <w:sz w:val="28"/>
          <w:szCs w:val="28"/>
          <w:b w:val="1"/>
          <w:bCs w:val="1"/>
          <w:color w:val="auto"/>
        </w:rPr>
        <w:t>G20</w:t>
      </w:r>
      <w:r>
        <w:rPr>
          <w:rFonts w:ascii="宋体" w:cs="宋体" w:eastAsia="宋体" w:hAnsi="宋体"/>
          <w:sz w:val="28"/>
          <w:szCs w:val="28"/>
          <w:b w:val="1"/>
          <w:bCs w:val="1"/>
          <w:color w:val="auto"/>
        </w:rPr>
        <w:t>公报中关于汇率的承诺，包括避免</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竞争性贬值、避免将汇率用于竞争性目的。</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5.2</w:t>
      </w:r>
      <w:r>
        <w:rPr>
          <w:rFonts w:ascii="宋体" w:cs="宋体" w:eastAsia="宋体" w:hAnsi="宋体"/>
          <w:sz w:val="28"/>
          <w:szCs w:val="28"/>
          <w:b w:val="1"/>
          <w:bCs w:val="1"/>
          <w:color w:val="auto"/>
        </w:rPr>
        <w:t>条 汇率政策</w:t>
      </w:r>
    </w:p>
    <w:p>
      <w:pPr>
        <w:spacing w:after="0" w:line="200" w:lineRule="exact"/>
        <w:rPr>
          <w:sz w:val="20"/>
          <w:szCs w:val="20"/>
          <w:color w:val="auto"/>
        </w:rPr>
      </w:pPr>
    </w:p>
    <w:p>
      <w:pPr>
        <w:spacing w:after="0" w:line="250" w:lineRule="exact"/>
        <w:rPr>
          <w:sz w:val="20"/>
          <w:szCs w:val="20"/>
          <w:color w:val="auto"/>
        </w:rPr>
      </w:pPr>
    </w:p>
    <w:p>
      <w:pPr>
        <w:jc w:val="both"/>
        <w:ind w:left="480" w:right="486" w:firstLine="552"/>
        <w:spacing w:after="0" w:line="459" w:lineRule="exact"/>
        <w:rPr>
          <w:sz w:val="20"/>
          <w:szCs w:val="20"/>
          <w:color w:val="auto"/>
        </w:rPr>
      </w:pPr>
      <w:r>
        <w:rPr>
          <w:rFonts w:ascii="宋体" w:cs="宋体" w:eastAsia="宋体" w:hAnsi="宋体"/>
          <w:sz w:val="28"/>
          <w:szCs w:val="28"/>
          <w:b w:val="1"/>
          <w:bCs w:val="1"/>
          <w:color w:val="auto"/>
        </w:rPr>
        <w:t>一、每一方确认接受国际货币基金组织（</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）协定约束，避免操纵汇率或国际货币体系以阻碍国际收支的有效调整或获得不公平的竞争优势。</w:t>
      </w:r>
    </w:p>
    <w:p>
      <w:pPr>
        <w:spacing w:after="0" w:line="200" w:lineRule="exact"/>
        <w:rPr>
          <w:sz w:val="20"/>
          <w:szCs w:val="20"/>
          <w:color w:val="auto"/>
        </w:rPr>
      </w:pPr>
    </w:p>
    <w:p>
      <w:pPr>
        <w:spacing w:after="0" w:line="24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二、每一方应该：</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5-1</w:t>
      </w:r>
    </w:p>
    <w:p>
      <w:pPr>
        <w:sectPr>
          <w:pgSz w:w="11900" w:h="16838" w:orient="portrait"/>
          <w:cols w:equalWidth="0" w:num="1">
            <w:col w:w="9026"/>
          </w:cols>
          <w:pgMar w:left="1440" w:top="1440" w:right="1440" w:bottom="435" w:gutter="0" w:footer="0" w:header="0"/>
        </w:sectPr>
      </w:pPr>
    </w:p>
    <w:bookmarkStart w:id="71" w:name="page72"/>
    <w:bookmarkEnd w:id="71"/>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（一）实现并维持市场决定的汇率制度；以及</w:t>
      </w:r>
    </w:p>
    <w:p>
      <w:pPr>
        <w:spacing w:after="0" w:line="200" w:lineRule="exact"/>
        <w:rPr>
          <w:sz w:val="20"/>
          <w:szCs w:val="20"/>
          <w:color w:val="auto"/>
        </w:rPr>
      </w:pPr>
    </w:p>
    <w:p>
      <w:pPr>
        <w:spacing w:after="0" w:line="281" w:lineRule="exact"/>
        <w:rPr>
          <w:sz w:val="20"/>
          <w:szCs w:val="20"/>
          <w:color w:val="auto"/>
        </w:rPr>
      </w:pPr>
    </w:p>
    <w:p>
      <w:pPr>
        <w:jc w:val="both"/>
        <w:ind w:left="480" w:right="486" w:firstLine="552"/>
        <w:spacing w:after="0" w:line="412" w:lineRule="exact"/>
        <w:rPr>
          <w:sz w:val="20"/>
          <w:szCs w:val="20"/>
          <w:color w:val="auto"/>
        </w:rPr>
      </w:pPr>
      <w:r>
        <w:rPr>
          <w:rFonts w:ascii="宋体" w:cs="宋体" w:eastAsia="宋体" w:hAnsi="宋体"/>
          <w:sz w:val="28"/>
          <w:szCs w:val="28"/>
          <w:b w:val="1"/>
          <w:bCs w:val="1"/>
          <w:color w:val="auto"/>
        </w:rPr>
        <w:t>（二）增强经济基本面，以巩固有利于宏观经济和汇率稳定的条件。</w:t>
      </w:r>
    </w:p>
    <w:p>
      <w:pPr>
        <w:spacing w:after="0" w:line="200" w:lineRule="exact"/>
        <w:rPr>
          <w:sz w:val="20"/>
          <w:szCs w:val="20"/>
          <w:color w:val="auto"/>
        </w:rPr>
      </w:pPr>
    </w:p>
    <w:p>
      <w:pPr>
        <w:spacing w:after="0" w:line="286" w:lineRule="exact"/>
        <w:rPr>
          <w:sz w:val="20"/>
          <w:szCs w:val="20"/>
          <w:color w:val="auto"/>
        </w:rPr>
      </w:pPr>
    </w:p>
    <w:p>
      <w:pPr>
        <w:jc w:val="both"/>
        <w:ind w:left="480" w:right="486" w:firstLine="552"/>
        <w:spacing w:after="0" w:line="412" w:lineRule="exact"/>
        <w:rPr>
          <w:sz w:val="20"/>
          <w:szCs w:val="20"/>
          <w:color w:val="auto"/>
        </w:rPr>
      </w:pPr>
      <w:r>
        <w:rPr>
          <w:rFonts w:ascii="宋体" w:cs="宋体" w:eastAsia="宋体" w:hAnsi="宋体"/>
          <w:sz w:val="28"/>
          <w:szCs w:val="28"/>
          <w:b w:val="1"/>
          <w:bCs w:val="1"/>
          <w:color w:val="auto"/>
        </w:rPr>
        <w:t>三、双方应避免竞争性贬值，避免将汇率用于竞争性目的，包括对外汇市场进行大规模、持续、单向干预。</w:t>
      </w:r>
    </w:p>
    <w:p>
      <w:pPr>
        <w:spacing w:after="0" w:line="200" w:lineRule="exact"/>
        <w:rPr>
          <w:sz w:val="20"/>
          <w:szCs w:val="20"/>
          <w:color w:val="auto"/>
        </w:rPr>
      </w:pPr>
    </w:p>
    <w:p>
      <w:pPr>
        <w:spacing w:after="0" w:line="24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四、双方将保持经常沟通，并就外汇市场情况、活动与政策进</w:t>
      </w:r>
    </w:p>
    <w:p>
      <w:pPr>
        <w:spacing w:after="0" w:line="229"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行沟通协商。双方将就</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对各自的汇率评估进行沟通协商。</w:t>
      </w:r>
    </w:p>
    <w:p>
      <w:pPr>
        <w:spacing w:after="0" w:line="200" w:lineRule="exact"/>
        <w:rPr>
          <w:sz w:val="20"/>
          <w:szCs w:val="20"/>
          <w:color w:val="auto"/>
        </w:rPr>
      </w:pPr>
    </w:p>
    <w:p>
      <w:pPr>
        <w:spacing w:after="0" w:line="220"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5.3</w:t>
      </w:r>
      <w:r>
        <w:rPr>
          <w:rFonts w:ascii="宋体" w:cs="宋体" w:eastAsia="宋体" w:hAnsi="宋体"/>
          <w:sz w:val="28"/>
          <w:szCs w:val="28"/>
          <w:b w:val="1"/>
          <w:bCs w:val="1"/>
          <w:color w:val="auto"/>
        </w:rPr>
        <w:t>条 透明度</w:t>
      </w:r>
    </w:p>
    <w:p>
      <w:pPr>
        <w:spacing w:after="0" w:line="200" w:lineRule="exact"/>
        <w:rPr>
          <w:sz w:val="20"/>
          <w:szCs w:val="20"/>
          <w:color w:val="auto"/>
        </w:rPr>
      </w:pPr>
    </w:p>
    <w:p>
      <w:pPr>
        <w:spacing w:after="0" w:line="22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一、双方确认按规定时间公开披露以下数据：</w:t>
      </w:r>
    </w:p>
    <w:p>
      <w:pPr>
        <w:spacing w:after="0" w:line="200" w:lineRule="exact"/>
        <w:rPr>
          <w:sz w:val="20"/>
          <w:szCs w:val="20"/>
          <w:color w:val="auto"/>
        </w:rPr>
      </w:pPr>
    </w:p>
    <w:p>
      <w:pPr>
        <w:spacing w:after="0" w:line="240"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（一）每月结束后不迟于</w:t>
      </w:r>
      <w:r>
        <w:rPr>
          <w:rFonts w:ascii="Times New Roman" w:cs="Times New Roman" w:eastAsia="Times New Roman" w:hAnsi="Times New Roman"/>
          <w:sz w:val="28"/>
          <w:szCs w:val="28"/>
          <w:b w:val="1"/>
          <w:bCs w:val="1"/>
          <w:color w:val="auto"/>
        </w:rPr>
        <w:t>30</w:t>
      </w:r>
      <w:r>
        <w:rPr>
          <w:rFonts w:ascii="宋体" w:cs="宋体" w:eastAsia="宋体" w:hAnsi="宋体"/>
          <w:sz w:val="28"/>
          <w:szCs w:val="28"/>
          <w:b w:val="1"/>
          <w:bCs w:val="1"/>
          <w:color w:val="auto"/>
        </w:rPr>
        <w:t>天内，按照</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关于国际储备和外</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币流动性的数据模板，公布每月外汇储备和远期头寸数据；</w:t>
      </w:r>
    </w:p>
    <w:p>
      <w:pPr>
        <w:spacing w:after="0" w:line="200" w:lineRule="exact"/>
        <w:rPr>
          <w:sz w:val="20"/>
          <w:szCs w:val="20"/>
          <w:color w:val="auto"/>
        </w:rPr>
      </w:pPr>
    </w:p>
    <w:p>
      <w:pPr>
        <w:spacing w:after="0" w:line="272" w:lineRule="exact"/>
        <w:rPr>
          <w:sz w:val="20"/>
          <w:szCs w:val="20"/>
          <w:color w:val="auto"/>
        </w:rPr>
      </w:pPr>
    </w:p>
    <w:p>
      <w:pPr>
        <w:jc w:val="both"/>
        <w:ind w:left="480" w:right="486" w:firstLine="552"/>
        <w:spacing w:after="0" w:line="459" w:lineRule="exact"/>
        <w:rPr>
          <w:sz w:val="20"/>
          <w:szCs w:val="20"/>
          <w:color w:val="auto"/>
        </w:rPr>
      </w:pPr>
      <w:r>
        <w:rPr>
          <w:rFonts w:ascii="宋体" w:cs="宋体" w:eastAsia="宋体" w:hAnsi="宋体"/>
          <w:sz w:val="28"/>
          <w:szCs w:val="28"/>
          <w:b w:val="1"/>
          <w:bCs w:val="1"/>
          <w:color w:val="auto"/>
        </w:rPr>
        <w:t>（二）每季结束后不迟于</w:t>
      </w:r>
      <w:r>
        <w:rPr>
          <w:rFonts w:ascii="Times New Roman" w:cs="Times New Roman" w:eastAsia="Times New Roman" w:hAnsi="Times New Roman"/>
          <w:sz w:val="28"/>
          <w:szCs w:val="28"/>
          <w:b w:val="1"/>
          <w:bCs w:val="1"/>
          <w:color w:val="auto"/>
        </w:rPr>
        <w:t>90</w:t>
      </w:r>
      <w:r>
        <w:rPr>
          <w:rFonts w:ascii="宋体" w:cs="宋体" w:eastAsia="宋体" w:hAnsi="宋体"/>
          <w:sz w:val="28"/>
          <w:szCs w:val="28"/>
          <w:b w:val="1"/>
          <w:bCs w:val="1"/>
          <w:color w:val="auto"/>
        </w:rPr>
        <w:t>天内，公布每季度国际收支金融账户的子项数据，包括直接投资、证券投资与其他投资（贷款与应收款）；以及</w:t>
      </w:r>
    </w:p>
    <w:p>
      <w:pPr>
        <w:spacing w:after="0" w:line="200" w:lineRule="exact"/>
        <w:rPr>
          <w:sz w:val="20"/>
          <w:szCs w:val="20"/>
          <w:color w:val="auto"/>
        </w:rPr>
      </w:pPr>
    </w:p>
    <w:p>
      <w:pPr>
        <w:spacing w:after="0" w:line="259" w:lineRule="exact"/>
        <w:rPr>
          <w:sz w:val="20"/>
          <w:szCs w:val="20"/>
          <w:color w:val="auto"/>
        </w:rPr>
      </w:pPr>
    </w:p>
    <w:p>
      <w:pPr>
        <w:ind w:left="1040"/>
        <w:spacing w:after="0" w:line="329" w:lineRule="exact"/>
        <w:rPr>
          <w:sz w:val="20"/>
          <w:szCs w:val="20"/>
          <w:color w:val="auto"/>
        </w:rPr>
      </w:pPr>
      <w:r>
        <w:rPr>
          <w:rFonts w:ascii="宋体" w:cs="宋体" w:eastAsia="宋体" w:hAnsi="宋体"/>
          <w:sz w:val="27"/>
          <w:szCs w:val="27"/>
          <w:b w:val="1"/>
          <w:bCs w:val="1"/>
          <w:color w:val="auto"/>
        </w:rPr>
        <w:t>（三）每季结束后</w:t>
      </w:r>
      <w:r>
        <w:rPr>
          <w:rFonts w:ascii="Times New Roman" w:cs="Times New Roman" w:eastAsia="Times New Roman" w:hAnsi="Times New Roman"/>
          <w:sz w:val="27"/>
          <w:szCs w:val="27"/>
          <w:b w:val="1"/>
          <w:bCs w:val="1"/>
          <w:color w:val="auto"/>
        </w:rPr>
        <w:t>90</w:t>
      </w:r>
      <w:r>
        <w:rPr>
          <w:rFonts w:ascii="宋体" w:cs="宋体" w:eastAsia="宋体" w:hAnsi="宋体"/>
          <w:sz w:val="27"/>
          <w:szCs w:val="27"/>
          <w:b w:val="1"/>
          <w:bCs w:val="1"/>
          <w:color w:val="auto"/>
        </w:rPr>
        <w:t>天内，公布每季度货物与服务进出口情况。</w:t>
      </w:r>
    </w:p>
    <w:p>
      <w:pPr>
        <w:spacing w:after="0" w:line="200" w:lineRule="exact"/>
        <w:rPr>
          <w:sz w:val="20"/>
          <w:szCs w:val="20"/>
          <w:color w:val="auto"/>
        </w:rPr>
      </w:pPr>
    </w:p>
    <w:p>
      <w:pPr>
        <w:spacing w:after="0" w:line="220"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二、双方重申并应继续同意</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公开披露以下信息：</w:t>
      </w:r>
    </w:p>
    <w:p>
      <w:pPr>
        <w:spacing w:after="0" w:line="200" w:lineRule="exact"/>
        <w:rPr>
          <w:sz w:val="20"/>
          <w:szCs w:val="20"/>
          <w:color w:val="auto"/>
        </w:rPr>
      </w:pPr>
    </w:p>
    <w:p>
      <w:pPr>
        <w:spacing w:after="0" w:line="218"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（一）在</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执董会议后四周内，公布</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关于本方的第四条</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款磋商报告，包括对本方汇率的评估情况；以及</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5-2</w:t>
      </w:r>
    </w:p>
    <w:p>
      <w:pPr>
        <w:sectPr>
          <w:pgSz w:w="11900" w:h="16838" w:orient="portrait"/>
          <w:cols w:equalWidth="0" w:num="1">
            <w:col w:w="9026"/>
          </w:cols>
          <w:pgMar w:left="1440" w:top="1440" w:right="1440" w:bottom="435" w:gutter="0" w:footer="0" w:header="0"/>
        </w:sectPr>
      </w:pPr>
    </w:p>
    <w:bookmarkStart w:id="72" w:name="page73"/>
    <w:bookmarkEnd w:id="72"/>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（二）确认加入</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官方外汇储备货币构成调查（</w:t>
      </w:r>
      <w:r>
        <w:rPr>
          <w:rFonts w:ascii="Times New Roman" w:cs="Times New Roman" w:eastAsia="Times New Roman" w:hAnsi="Times New Roman"/>
          <w:sz w:val="28"/>
          <w:szCs w:val="28"/>
          <w:b w:val="1"/>
          <w:bCs w:val="1"/>
          <w:color w:val="auto"/>
        </w:rPr>
        <w:t>COFER</w:t>
      </w:r>
      <w:r>
        <w:rPr>
          <w:rFonts w:ascii="宋体" w:cs="宋体" w:eastAsia="宋体" w:hAnsi="宋体"/>
          <w:sz w:val="28"/>
          <w:szCs w:val="28"/>
          <w:b w:val="1"/>
          <w:bCs w:val="1"/>
          <w:color w:val="auto"/>
        </w:rPr>
        <w:t>）</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数据库。</w:t>
      </w:r>
    </w:p>
    <w:p>
      <w:pPr>
        <w:spacing w:after="0" w:line="200" w:lineRule="exact"/>
        <w:rPr>
          <w:sz w:val="20"/>
          <w:szCs w:val="20"/>
          <w:color w:val="auto"/>
        </w:rPr>
      </w:pPr>
    </w:p>
    <w:p>
      <w:pPr>
        <w:spacing w:after="0" w:line="272" w:lineRule="exact"/>
        <w:rPr>
          <w:sz w:val="20"/>
          <w:szCs w:val="20"/>
          <w:color w:val="auto"/>
        </w:rPr>
      </w:pPr>
    </w:p>
    <w:p>
      <w:pPr>
        <w:ind w:left="480" w:right="546" w:firstLine="552"/>
        <w:spacing w:after="0" w:line="428" w:lineRule="exact"/>
        <w:rPr>
          <w:sz w:val="20"/>
          <w:szCs w:val="20"/>
          <w:color w:val="auto"/>
        </w:rPr>
      </w:pPr>
      <w:r>
        <w:rPr>
          <w:rFonts w:ascii="宋体" w:cs="宋体" w:eastAsia="宋体" w:hAnsi="宋体"/>
          <w:sz w:val="28"/>
          <w:szCs w:val="28"/>
          <w:b w:val="1"/>
          <w:bCs w:val="1"/>
          <w:color w:val="auto"/>
        </w:rPr>
        <w:t>三、如果</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未公开如本条第</w:t>
      </w: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段所述信息，未被公开的一方应主动要求</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予以公开披露。</w:t>
      </w:r>
    </w:p>
    <w:p>
      <w:pPr>
        <w:spacing w:after="0" w:line="200" w:lineRule="exact"/>
        <w:rPr>
          <w:sz w:val="20"/>
          <w:szCs w:val="20"/>
          <w:color w:val="auto"/>
        </w:rPr>
      </w:pPr>
    </w:p>
    <w:p>
      <w:pPr>
        <w:spacing w:after="0" w:line="224"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5.4</w:t>
      </w:r>
      <w:r>
        <w:rPr>
          <w:rFonts w:ascii="宋体" w:cs="宋体" w:eastAsia="宋体" w:hAnsi="宋体"/>
          <w:sz w:val="28"/>
          <w:szCs w:val="28"/>
          <w:b w:val="1"/>
          <w:bCs w:val="1"/>
          <w:color w:val="auto"/>
        </w:rPr>
        <w:t>条 执行机制</w:t>
      </w:r>
    </w:p>
    <w:p>
      <w:pPr>
        <w:spacing w:after="0" w:line="200" w:lineRule="exact"/>
        <w:rPr>
          <w:sz w:val="20"/>
          <w:szCs w:val="20"/>
          <w:color w:val="auto"/>
        </w:rPr>
      </w:pPr>
    </w:p>
    <w:p>
      <w:pPr>
        <w:spacing w:after="0" w:line="259" w:lineRule="exact"/>
        <w:rPr>
          <w:sz w:val="20"/>
          <w:szCs w:val="20"/>
          <w:color w:val="auto"/>
        </w:rPr>
      </w:pPr>
    </w:p>
    <w:p>
      <w:pPr>
        <w:jc w:val="both"/>
        <w:ind w:left="480" w:right="486" w:firstLine="552"/>
        <w:spacing w:after="0" w:line="457" w:lineRule="exact"/>
        <w:rPr>
          <w:sz w:val="20"/>
          <w:szCs w:val="20"/>
          <w:color w:val="auto"/>
        </w:rPr>
      </w:pPr>
      <w:r>
        <w:rPr>
          <w:rFonts w:ascii="宋体" w:cs="宋体" w:eastAsia="宋体" w:hAnsi="宋体"/>
          <w:sz w:val="28"/>
          <w:szCs w:val="28"/>
          <w:b w:val="1"/>
          <w:bCs w:val="1"/>
          <w:color w:val="auto"/>
        </w:rPr>
        <w:t>一、汇率政策及透明度出现的问题，应由中国人民银行行长或美国财政部长向第七章（双边评估和争端解决）中建立的双边评估和争端解决安排提交。</w:t>
      </w:r>
    </w:p>
    <w:p>
      <w:pPr>
        <w:spacing w:after="0" w:line="200" w:lineRule="exact"/>
        <w:rPr>
          <w:sz w:val="20"/>
          <w:szCs w:val="20"/>
          <w:color w:val="auto"/>
        </w:rPr>
      </w:pPr>
    </w:p>
    <w:p>
      <w:pPr>
        <w:spacing w:after="0" w:line="281" w:lineRule="exact"/>
        <w:rPr>
          <w:sz w:val="20"/>
          <w:szCs w:val="20"/>
          <w:color w:val="auto"/>
        </w:rPr>
      </w:pPr>
    </w:p>
    <w:p>
      <w:pPr>
        <w:jc w:val="both"/>
        <w:ind w:left="480" w:right="486" w:firstLine="552"/>
        <w:spacing w:after="0" w:line="463" w:lineRule="exact"/>
        <w:rPr>
          <w:sz w:val="20"/>
          <w:szCs w:val="20"/>
          <w:color w:val="auto"/>
        </w:rPr>
      </w:pPr>
      <w:r>
        <w:rPr>
          <w:rFonts w:ascii="宋体" w:cs="宋体" w:eastAsia="宋体" w:hAnsi="宋体"/>
          <w:sz w:val="28"/>
          <w:szCs w:val="28"/>
          <w:b w:val="1"/>
          <w:bCs w:val="1"/>
          <w:color w:val="auto"/>
        </w:rPr>
        <w:t>二、如双方无法在双边评估和争端解决安排下达成双方满意的解决方案，中国人民银行行长或美国财政部长也可请求</w:t>
      </w:r>
      <w:r>
        <w:rPr>
          <w:rFonts w:ascii="Times New Roman" w:cs="Times New Roman" w:eastAsia="Times New Roman" w:hAnsi="Times New Roman"/>
          <w:sz w:val="28"/>
          <w:szCs w:val="28"/>
          <w:b w:val="1"/>
          <w:bCs w:val="1"/>
          <w:color w:val="auto"/>
        </w:rPr>
        <w:t>IMF</w:t>
      </w:r>
      <w:r>
        <w:rPr>
          <w:rFonts w:ascii="宋体" w:cs="宋体" w:eastAsia="宋体" w:hAnsi="宋体"/>
          <w:sz w:val="28"/>
          <w:szCs w:val="28"/>
          <w:b w:val="1"/>
          <w:bCs w:val="1"/>
          <w:color w:val="auto"/>
        </w:rPr>
        <w:t>在其职权范围内</w:t>
      </w:r>
      <w:r>
        <w:rPr>
          <w:rFonts w:ascii="Times New Roman" w:cs="Times New Roman" w:eastAsia="Times New Roman" w:hAnsi="Times New Roman"/>
          <w:sz w:val="28"/>
          <w:szCs w:val="28"/>
          <w:b w:val="1"/>
          <w:bCs w:val="1"/>
          <w:color w:val="auto"/>
        </w:rPr>
        <w:t>:</w:t>
      </w:r>
    </w:p>
    <w:p>
      <w:pPr>
        <w:spacing w:after="0" w:line="200" w:lineRule="exact"/>
        <w:rPr>
          <w:sz w:val="20"/>
          <w:szCs w:val="20"/>
          <w:color w:val="auto"/>
        </w:rPr>
      </w:pPr>
    </w:p>
    <w:p>
      <w:pPr>
        <w:spacing w:after="0" w:line="263"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（一）对另一方的宏观经济和汇率政策、数据透明度以及报告情况进行严格监督；或</w:t>
      </w:r>
    </w:p>
    <w:p>
      <w:pPr>
        <w:spacing w:after="0" w:line="200" w:lineRule="exact"/>
        <w:rPr>
          <w:sz w:val="20"/>
          <w:szCs w:val="20"/>
          <w:color w:val="auto"/>
        </w:rPr>
      </w:pPr>
    </w:p>
    <w:p>
      <w:pPr>
        <w:spacing w:after="0" w:line="24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（二）发起正式磋商并提供适当的意见。</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5-3</w:t>
      </w:r>
    </w:p>
    <w:p>
      <w:pPr>
        <w:sectPr>
          <w:pgSz w:w="11900" w:h="16838" w:orient="portrait"/>
          <w:cols w:equalWidth="0" w:num="1">
            <w:col w:w="9026"/>
          </w:cols>
          <w:pgMar w:left="1440" w:top="1440" w:right="1440" w:bottom="435" w:gutter="0" w:footer="0" w:header="0"/>
          <w:type w:val="continuous"/>
        </w:sectPr>
      </w:pPr>
    </w:p>
    <w:bookmarkStart w:id="73" w:name="page74"/>
    <w:bookmarkEnd w:id="7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jc w:val="center"/>
        <w:ind w:right="6"/>
        <w:spacing w:after="0" w:line="343" w:lineRule="exact"/>
        <w:rPr>
          <w:sz w:val="20"/>
          <w:szCs w:val="20"/>
          <w:color w:val="auto"/>
        </w:rPr>
      </w:pPr>
      <w:r>
        <w:rPr>
          <w:rFonts w:ascii="黑体" w:cs="黑体" w:eastAsia="黑体" w:hAnsi="黑体"/>
          <w:sz w:val="30"/>
          <w:szCs w:val="30"/>
          <w:b w:val="1"/>
          <w:bCs w:val="1"/>
          <w:color w:val="auto"/>
        </w:rPr>
        <w:t>第六章 扩大贸易</w:t>
      </w:r>
    </w:p>
    <w:p>
      <w:pPr>
        <w:spacing w:after="0" w:line="200" w:lineRule="exact"/>
        <w:rPr>
          <w:sz w:val="20"/>
          <w:szCs w:val="20"/>
          <w:color w:val="auto"/>
        </w:rPr>
      </w:pPr>
    </w:p>
    <w:p>
      <w:pPr>
        <w:spacing w:after="0" w:line="238" w:lineRule="exact"/>
        <w:rPr>
          <w:sz w:val="20"/>
          <w:szCs w:val="20"/>
          <w:color w:val="auto"/>
        </w:rPr>
      </w:pPr>
    </w:p>
    <w:p>
      <w:pPr>
        <w:jc w:val="center"/>
        <w:ind w:right="6"/>
        <w:spacing w:after="0" w:line="341" w:lineRule="exact"/>
        <w:rPr>
          <w:sz w:val="20"/>
          <w:szCs w:val="20"/>
          <w:color w:val="auto"/>
        </w:rPr>
      </w:pPr>
      <w:r>
        <w:rPr>
          <w:rFonts w:ascii="黑体" w:cs="黑体" w:eastAsia="黑体" w:hAnsi="黑体"/>
          <w:sz w:val="28"/>
          <w:szCs w:val="28"/>
          <w:b w:val="1"/>
          <w:bCs w:val="1"/>
          <w:color w:val="auto"/>
        </w:rPr>
        <w:t>第</w:t>
      </w:r>
      <w:r>
        <w:rPr>
          <w:rFonts w:ascii="Times New Roman" w:cs="Times New Roman" w:eastAsia="Times New Roman" w:hAnsi="Times New Roman"/>
          <w:sz w:val="28"/>
          <w:szCs w:val="28"/>
          <w:b w:val="1"/>
          <w:bCs w:val="1"/>
          <w:color w:val="auto"/>
        </w:rPr>
        <w:t>6.1</w:t>
      </w:r>
      <w:r>
        <w:rPr>
          <w:rFonts w:ascii="黑体" w:cs="黑体" w:eastAsia="黑体" w:hAnsi="黑体"/>
          <w:sz w:val="28"/>
          <w:szCs w:val="28"/>
          <w:b w:val="1"/>
          <w:bCs w:val="1"/>
          <w:color w:val="auto"/>
        </w:rPr>
        <w:t>条 目 标</w:t>
      </w:r>
    </w:p>
    <w:p>
      <w:pPr>
        <w:spacing w:after="0" w:line="200" w:lineRule="exact"/>
        <w:rPr>
          <w:sz w:val="20"/>
          <w:szCs w:val="20"/>
          <w:color w:val="auto"/>
        </w:rPr>
      </w:pPr>
    </w:p>
    <w:p>
      <w:pPr>
        <w:spacing w:after="0" w:line="278" w:lineRule="exact"/>
        <w:rPr>
          <w:sz w:val="20"/>
          <w:szCs w:val="20"/>
          <w:color w:val="auto"/>
        </w:rPr>
      </w:pPr>
    </w:p>
    <w:p>
      <w:pPr>
        <w:ind w:left="480" w:right="206" w:firstLine="550"/>
        <w:spacing w:after="0" w:line="456" w:lineRule="exact"/>
        <w:rPr>
          <w:sz w:val="20"/>
          <w:szCs w:val="20"/>
          <w:color w:val="auto"/>
        </w:rPr>
      </w:pPr>
      <w:r>
        <w:rPr>
          <w:rFonts w:ascii="黑体" w:cs="黑体" w:eastAsia="黑体" w:hAnsi="黑体"/>
          <w:sz w:val="28"/>
          <w:szCs w:val="28"/>
          <w:b w:val="1"/>
          <w:bCs w:val="1"/>
          <w:color w:val="auto"/>
        </w:rPr>
        <w:t>一、</w:t>
      </w:r>
      <w:r>
        <w:rPr>
          <w:rFonts w:ascii="宋体" w:cs="宋体" w:eastAsia="宋体" w:hAnsi="宋体"/>
          <w:sz w:val="28"/>
          <w:szCs w:val="28"/>
          <w:b w:val="1"/>
          <w:bCs w:val="1"/>
          <w:color w:val="auto"/>
        </w:rPr>
        <w:t>双方承认，本协议以及中国正在采取的开放经济和改善贸易体系的举措所带来的贸易和经济结构变化，将有助于扩大贸易流，包括显著增加美国和其他国家对中国的商品和服务出口。</w:t>
      </w:r>
    </w:p>
    <w:p>
      <w:pPr>
        <w:spacing w:after="0" w:line="200" w:lineRule="exact"/>
        <w:rPr>
          <w:sz w:val="20"/>
          <w:szCs w:val="20"/>
          <w:color w:val="auto"/>
        </w:rPr>
      </w:pPr>
    </w:p>
    <w:p>
      <w:pPr>
        <w:spacing w:after="0" w:line="251" w:lineRule="exact"/>
        <w:rPr>
          <w:sz w:val="20"/>
          <w:szCs w:val="20"/>
          <w:color w:val="auto"/>
        </w:rPr>
      </w:pPr>
    </w:p>
    <w:p>
      <w:pPr>
        <w:ind w:left="1040"/>
        <w:spacing w:after="0" w:line="320" w:lineRule="exact"/>
        <w:rPr>
          <w:sz w:val="20"/>
          <w:szCs w:val="20"/>
          <w:color w:val="auto"/>
        </w:rPr>
      </w:pPr>
      <w:r>
        <w:rPr>
          <w:rFonts w:ascii="黑体" w:cs="黑体" w:eastAsia="黑体" w:hAnsi="黑体"/>
          <w:sz w:val="28"/>
          <w:szCs w:val="28"/>
          <w:b w:val="1"/>
          <w:bCs w:val="1"/>
          <w:color w:val="auto"/>
        </w:rPr>
        <w:t>二、</w:t>
      </w:r>
      <w:r>
        <w:rPr>
          <w:rFonts w:ascii="宋体" w:cs="宋体" w:eastAsia="宋体" w:hAnsi="宋体"/>
          <w:sz w:val="28"/>
          <w:szCs w:val="28"/>
          <w:b w:val="1"/>
          <w:bCs w:val="1"/>
          <w:color w:val="auto"/>
        </w:rPr>
        <w:t>双方认为，两国贸易具有高度的互补性，扩大贸易合作有</w:t>
      </w:r>
    </w:p>
    <w:p>
      <w:pPr>
        <w:spacing w:after="0" w:line="221"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利于改善双边贸易关系、优化资源配置、调整经济结构、促进经济</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可持续发展。</w:t>
      </w:r>
    </w:p>
    <w:p>
      <w:pPr>
        <w:spacing w:after="0" w:line="200" w:lineRule="exact"/>
        <w:rPr>
          <w:sz w:val="20"/>
          <w:szCs w:val="20"/>
          <w:color w:val="auto"/>
        </w:rPr>
      </w:pPr>
    </w:p>
    <w:p>
      <w:pPr>
        <w:spacing w:after="0" w:line="248" w:lineRule="exact"/>
        <w:rPr>
          <w:sz w:val="20"/>
          <w:szCs w:val="20"/>
          <w:color w:val="auto"/>
        </w:rPr>
      </w:pPr>
    </w:p>
    <w:p>
      <w:pPr>
        <w:ind w:left="1040"/>
        <w:spacing w:after="0" w:line="320" w:lineRule="exact"/>
        <w:rPr>
          <w:sz w:val="20"/>
          <w:szCs w:val="20"/>
          <w:color w:val="auto"/>
        </w:rPr>
      </w:pPr>
      <w:r>
        <w:rPr>
          <w:rFonts w:ascii="黑体" w:cs="黑体" w:eastAsia="黑体" w:hAnsi="黑体"/>
          <w:sz w:val="28"/>
          <w:szCs w:val="28"/>
          <w:b w:val="1"/>
          <w:bCs w:val="1"/>
          <w:color w:val="auto"/>
        </w:rPr>
        <w:t>三、</w:t>
      </w:r>
      <w:r>
        <w:rPr>
          <w:rFonts w:ascii="宋体" w:cs="宋体" w:eastAsia="宋体" w:hAnsi="宋体"/>
          <w:sz w:val="28"/>
          <w:szCs w:val="28"/>
          <w:b w:val="1"/>
          <w:bCs w:val="1"/>
          <w:color w:val="auto"/>
        </w:rPr>
        <w:t>双方认识到，美国生产并能够供应品质高、价格竞争力强</w:t>
      </w:r>
    </w:p>
    <w:p>
      <w:pPr>
        <w:spacing w:after="0" w:line="221"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的商品和服务，而中国需要增加质优价廉的商品和服务的进口，以</w:t>
      </w:r>
    </w:p>
    <w:p>
      <w:pPr>
        <w:spacing w:after="0" w:line="223"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满足中国消费者日益增长的需要。</w:t>
      </w:r>
    </w:p>
    <w:p>
      <w:pPr>
        <w:spacing w:after="0" w:line="200" w:lineRule="exact"/>
        <w:rPr>
          <w:sz w:val="20"/>
          <w:szCs w:val="20"/>
          <w:color w:val="auto"/>
        </w:rPr>
      </w:pPr>
    </w:p>
    <w:p>
      <w:pPr>
        <w:spacing w:after="0" w:line="284" w:lineRule="exact"/>
        <w:rPr>
          <w:sz w:val="20"/>
          <w:szCs w:val="20"/>
          <w:color w:val="auto"/>
        </w:rPr>
      </w:pPr>
    </w:p>
    <w:p>
      <w:pPr>
        <w:ind w:left="480" w:right="486" w:firstLine="562"/>
        <w:spacing w:after="0" w:line="412" w:lineRule="exact"/>
        <w:rPr>
          <w:sz w:val="20"/>
          <w:szCs w:val="20"/>
          <w:color w:val="auto"/>
        </w:rPr>
      </w:pPr>
      <w:r>
        <w:rPr>
          <w:rFonts w:ascii="黑体" w:cs="黑体" w:eastAsia="黑体" w:hAnsi="黑体"/>
          <w:sz w:val="28"/>
          <w:szCs w:val="28"/>
          <w:b w:val="1"/>
          <w:bCs w:val="1"/>
          <w:color w:val="auto"/>
        </w:rPr>
        <w:t>四、</w:t>
      </w:r>
      <w:r>
        <w:rPr>
          <w:rFonts w:ascii="宋体" w:cs="宋体" w:eastAsia="宋体" w:hAnsi="宋体"/>
          <w:sz w:val="28"/>
          <w:szCs w:val="28"/>
          <w:b w:val="1"/>
          <w:bCs w:val="1"/>
          <w:color w:val="auto"/>
        </w:rPr>
        <w:t>双方因此寻求开展建设性合作，以改善双边贸易关系，探索采取适当举措便利贸易增长。</w:t>
      </w:r>
    </w:p>
    <w:p>
      <w:pPr>
        <w:spacing w:after="0" w:line="200" w:lineRule="exact"/>
        <w:rPr>
          <w:sz w:val="20"/>
          <w:szCs w:val="20"/>
          <w:color w:val="auto"/>
        </w:rPr>
      </w:pPr>
    </w:p>
    <w:p>
      <w:pPr>
        <w:spacing w:after="0" w:line="228" w:lineRule="exact"/>
        <w:rPr>
          <w:sz w:val="20"/>
          <w:szCs w:val="20"/>
          <w:color w:val="auto"/>
        </w:rPr>
      </w:pPr>
    </w:p>
    <w:p>
      <w:pPr>
        <w:jc w:val="center"/>
        <w:ind w:right="6"/>
        <w:spacing w:after="0" w:line="341" w:lineRule="exact"/>
        <w:rPr>
          <w:sz w:val="20"/>
          <w:szCs w:val="20"/>
          <w:color w:val="auto"/>
        </w:rPr>
      </w:pPr>
      <w:r>
        <w:rPr>
          <w:rFonts w:ascii="黑体" w:cs="黑体" w:eastAsia="黑体" w:hAnsi="黑体"/>
          <w:sz w:val="28"/>
          <w:szCs w:val="28"/>
          <w:b w:val="1"/>
          <w:bCs w:val="1"/>
          <w:color w:val="auto"/>
        </w:rPr>
        <w:t>第</w:t>
      </w:r>
      <w:r>
        <w:rPr>
          <w:rFonts w:ascii="Times New Roman" w:cs="Times New Roman" w:eastAsia="Times New Roman" w:hAnsi="Times New Roman"/>
          <w:sz w:val="28"/>
          <w:szCs w:val="28"/>
          <w:b w:val="1"/>
          <w:bCs w:val="1"/>
          <w:color w:val="auto"/>
        </w:rPr>
        <w:t>6.2</w:t>
      </w:r>
      <w:r>
        <w:rPr>
          <w:rFonts w:ascii="黑体" w:cs="黑体" w:eastAsia="黑体" w:hAnsi="黑体"/>
          <w:sz w:val="28"/>
          <w:szCs w:val="28"/>
          <w:b w:val="1"/>
          <w:bCs w:val="1"/>
          <w:color w:val="auto"/>
        </w:rPr>
        <w:t>条 贸易机会</w:t>
      </w:r>
    </w:p>
    <w:p>
      <w:pPr>
        <w:spacing w:after="0" w:line="200" w:lineRule="exact"/>
        <w:rPr>
          <w:sz w:val="20"/>
          <w:szCs w:val="20"/>
          <w:color w:val="auto"/>
        </w:rPr>
      </w:pPr>
    </w:p>
    <w:p>
      <w:pPr>
        <w:spacing w:after="0" w:line="223" w:lineRule="exact"/>
        <w:rPr>
          <w:sz w:val="20"/>
          <w:szCs w:val="20"/>
          <w:color w:val="auto"/>
        </w:rPr>
      </w:pPr>
    </w:p>
    <w:p>
      <w:pPr>
        <w:ind w:left="1040"/>
        <w:spacing w:after="0" w:line="341" w:lineRule="exact"/>
        <w:rPr>
          <w:sz w:val="20"/>
          <w:szCs w:val="20"/>
          <w:color w:val="auto"/>
        </w:rPr>
      </w:pPr>
      <w:r>
        <w:rPr>
          <w:rFonts w:ascii="黑体" w:cs="黑体" w:eastAsia="黑体" w:hAnsi="黑体"/>
          <w:sz w:val="28"/>
          <w:szCs w:val="28"/>
          <w:b w:val="1"/>
          <w:bCs w:val="1"/>
          <w:color w:val="auto"/>
        </w:rPr>
        <w:t>一、</w:t>
      </w:r>
      <w:r>
        <w:rPr>
          <w:rFonts w:ascii="宋体" w:cs="宋体" w:eastAsia="宋体" w:hAnsi="宋体"/>
          <w:sz w:val="28"/>
          <w:szCs w:val="28"/>
          <w:b w:val="1"/>
          <w:bCs w:val="1"/>
          <w:color w:val="auto"/>
        </w:rPr>
        <w:t>从</w:t>
      </w:r>
      <w:r>
        <w:rPr>
          <w:rFonts w:ascii="Times New Roman" w:cs="Times New Roman" w:eastAsia="Times New Roman" w:hAnsi="Times New Roman"/>
          <w:sz w:val="28"/>
          <w:szCs w:val="28"/>
          <w:b w:val="1"/>
          <w:bCs w:val="1"/>
          <w:color w:val="auto"/>
        </w:rPr>
        <w:t>2020</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日至</w:t>
      </w:r>
      <w:r>
        <w:rPr>
          <w:rFonts w:ascii="Times New Roman" w:cs="Times New Roman" w:eastAsia="Times New Roman" w:hAnsi="Times New Roman"/>
          <w:sz w:val="28"/>
          <w:szCs w:val="28"/>
          <w:b w:val="1"/>
          <w:bCs w:val="1"/>
          <w:color w:val="auto"/>
        </w:rPr>
        <w:t>2021</w:t>
      </w:r>
      <w:r>
        <w:rPr>
          <w:rFonts w:ascii="宋体" w:cs="宋体" w:eastAsia="宋体" w:hAnsi="宋体"/>
          <w:sz w:val="28"/>
          <w:szCs w:val="28"/>
          <w:b w:val="1"/>
          <w:bCs w:val="1"/>
          <w:color w:val="auto"/>
        </w:rPr>
        <w:t>年</w:t>
      </w:r>
      <w:r>
        <w:rPr>
          <w:rFonts w:ascii="Times New Roman" w:cs="Times New Roman" w:eastAsia="Times New Roman" w:hAnsi="Times New Roman"/>
          <w:sz w:val="28"/>
          <w:szCs w:val="28"/>
          <w:b w:val="1"/>
          <w:bCs w:val="1"/>
          <w:color w:val="auto"/>
        </w:rPr>
        <w:t>12</w:t>
      </w:r>
      <w:r>
        <w:rPr>
          <w:rFonts w:ascii="宋体" w:cs="宋体" w:eastAsia="宋体" w:hAnsi="宋体"/>
          <w:sz w:val="28"/>
          <w:szCs w:val="28"/>
          <w:b w:val="1"/>
          <w:bCs w:val="1"/>
          <w:color w:val="auto"/>
        </w:rPr>
        <w:t>月</w:t>
      </w:r>
      <w:r>
        <w:rPr>
          <w:rFonts w:ascii="Times New Roman" w:cs="Times New Roman" w:eastAsia="Times New Roman" w:hAnsi="Times New Roman"/>
          <w:sz w:val="28"/>
          <w:szCs w:val="28"/>
          <w:b w:val="1"/>
          <w:bCs w:val="1"/>
          <w:color w:val="auto"/>
        </w:rPr>
        <w:t>31</w:t>
      </w:r>
      <w:r>
        <w:rPr>
          <w:rFonts w:ascii="宋体" w:cs="宋体" w:eastAsia="宋体" w:hAnsi="宋体"/>
          <w:sz w:val="28"/>
          <w:szCs w:val="28"/>
          <w:b w:val="1"/>
          <w:bCs w:val="1"/>
          <w:color w:val="auto"/>
        </w:rPr>
        <w:t>日两年内，中国应确保，</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如附录</w:t>
      </w:r>
      <w:r>
        <w:rPr>
          <w:rFonts w:ascii="Times New Roman" w:cs="Times New Roman" w:eastAsia="Times New Roman" w:hAnsi="Times New Roman"/>
          <w:sz w:val="28"/>
          <w:szCs w:val="28"/>
          <w:b w:val="1"/>
          <w:bCs w:val="1"/>
          <w:color w:val="auto"/>
        </w:rPr>
        <w:t>6.1</w:t>
      </w:r>
      <w:r>
        <w:rPr>
          <w:rFonts w:ascii="宋体" w:cs="宋体" w:eastAsia="宋体" w:hAnsi="宋体"/>
          <w:sz w:val="28"/>
          <w:szCs w:val="28"/>
          <w:b w:val="1"/>
          <w:bCs w:val="1"/>
          <w:color w:val="auto"/>
        </w:rPr>
        <w:t>所示，在</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年基数之上，扩大自美采购和进口制成品、</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农产品、能源产品和服务不少于</w:t>
      </w:r>
      <w:r>
        <w:rPr>
          <w:rFonts w:ascii="Times New Roman" w:cs="Times New Roman" w:eastAsia="Times New Roman" w:hAnsi="Times New Roman"/>
          <w:sz w:val="28"/>
          <w:szCs w:val="28"/>
          <w:b w:val="1"/>
          <w:bCs w:val="1"/>
          <w:color w:val="auto"/>
        </w:rPr>
        <w:t>2000</w:t>
      </w:r>
      <w:r>
        <w:rPr>
          <w:rFonts w:ascii="宋体" w:cs="宋体" w:eastAsia="宋体" w:hAnsi="宋体"/>
          <w:sz w:val="28"/>
          <w:szCs w:val="28"/>
          <w:b w:val="1"/>
          <w:bCs w:val="1"/>
          <w:color w:val="auto"/>
        </w:rPr>
        <w:t>亿美元。具体而言，中国应确</w:t>
      </w:r>
    </w:p>
    <w:p>
      <w:pPr>
        <w:spacing w:after="0" w:line="222"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保：</w:t>
      </w:r>
    </w:p>
    <w:p>
      <w:pPr>
        <w:spacing w:after="0" w:line="200" w:lineRule="exact"/>
        <w:rPr>
          <w:sz w:val="20"/>
          <w:szCs w:val="20"/>
          <w:color w:val="auto"/>
        </w:rPr>
      </w:pPr>
    </w:p>
    <w:p>
      <w:pPr>
        <w:spacing w:after="0" w:line="226"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（一）在制成品方面，如附录</w:t>
      </w:r>
      <w:r>
        <w:rPr>
          <w:rFonts w:ascii="Times New Roman" w:cs="Times New Roman" w:eastAsia="Times New Roman" w:hAnsi="Times New Roman"/>
          <w:sz w:val="28"/>
          <w:szCs w:val="28"/>
          <w:b w:val="1"/>
          <w:bCs w:val="1"/>
          <w:color w:val="auto"/>
        </w:rPr>
        <w:t>6.1</w:t>
      </w:r>
      <w:r>
        <w:rPr>
          <w:rFonts w:ascii="宋体" w:cs="宋体" w:eastAsia="宋体" w:hAnsi="宋体"/>
          <w:sz w:val="28"/>
          <w:szCs w:val="28"/>
          <w:b w:val="1"/>
          <w:bCs w:val="1"/>
          <w:color w:val="auto"/>
        </w:rPr>
        <w:t>所示，在</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年基数之上，</w:t>
      </w:r>
    </w:p>
    <w:p>
      <w:pPr>
        <w:sectPr>
          <w:pgSz w:w="11900" w:h="16838" w:orient="portrait"/>
          <w:cols w:equalWidth="0" w:num="1">
            <w:col w:w="9026"/>
          </w:cols>
          <w:pgMar w:left="1440" w:top="1440" w:right="1440" w:bottom="4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6-1</w:t>
      </w:r>
    </w:p>
    <w:p>
      <w:pPr>
        <w:sectPr>
          <w:pgSz w:w="11900" w:h="16838" w:orient="portrait"/>
          <w:cols w:equalWidth="0" w:num="1">
            <w:col w:w="9026"/>
          </w:cols>
          <w:pgMar w:left="1440" w:top="1440" w:right="1440" w:bottom="465" w:gutter="0" w:footer="0" w:header="0"/>
          <w:type w:val="continuous"/>
        </w:sectPr>
      </w:pPr>
    </w:p>
    <w:bookmarkStart w:id="74" w:name="page75"/>
    <w:bookmarkEnd w:id="74"/>
    <w:p>
      <w:pPr>
        <w:spacing w:after="0" w:line="200" w:lineRule="exact"/>
        <w:rPr>
          <w:sz w:val="20"/>
          <w:szCs w:val="20"/>
          <w:color w:val="auto"/>
        </w:rPr>
      </w:pPr>
    </w:p>
    <w:p>
      <w:pPr>
        <w:spacing w:after="0" w:line="200" w:lineRule="exact"/>
        <w:rPr>
          <w:sz w:val="20"/>
          <w:szCs w:val="20"/>
          <w:color w:val="auto"/>
        </w:rPr>
      </w:pPr>
    </w:p>
    <w:p>
      <w:pPr>
        <w:spacing w:after="0" w:line="301" w:lineRule="exact"/>
        <w:rPr>
          <w:sz w:val="20"/>
          <w:szCs w:val="20"/>
          <w:color w:val="auto"/>
        </w:rPr>
      </w:pPr>
    </w:p>
    <w:p>
      <w:pPr>
        <w:ind w:left="480" w:right="486"/>
        <w:spacing w:after="0" w:line="466" w:lineRule="exact"/>
        <w:rPr>
          <w:sz w:val="20"/>
          <w:szCs w:val="20"/>
          <w:color w:val="auto"/>
        </w:rPr>
      </w:pPr>
      <w:r>
        <w:rPr>
          <w:rFonts w:ascii="宋体" w:cs="宋体" w:eastAsia="宋体" w:hAnsi="宋体"/>
          <w:sz w:val="28"/>
          <w:szCs w:val="28"/>
          <w:b w:val="1"/>
          <w:bCs w:val="1"/>
          <w:color w:val="auto"/>
        </w:rPr>
        <w:t>中国</w:t>
      </w:r>
      <w:r>
        <w:rPr>
          <w:rFonts w:ascii="Times New Roman" w:cs="Times New Roman" w:eastAsia="Times New Roman" w:hAnsi="Times New Roman"/>
          <w:sz w:val="28"/>
          <w:szCs w:val="28"/>
          <w:b w:val="1"/>
          <w:bCs w:val="1"/>
          <w:color w:val="auto"/>
        </w:rPr>
        <w:t>2020</w:t>
      </w:r>
      <w:r>
        <w:rPr>
          <w:rFonts w:ascii="宋体" w:cs="宋体" w:eastAsia="宋体" w:hAnsi="宋体"/>
          <w:sz w:val="28"/>
          <w:szCs w:val="28"/>
          <w:b w:val="1"/>
          <w:bCs w:val="1"/>
          <w:color w:val="auto"/>
        </w:rPr>
        <w:t>日历年自美采购和进口规模不少于</w:t>
      </w:r>
      <w:r>
        <w:rPr>
          <w:rFonts w:ascii="Times New Roman" w:cs="Times New Roman" w:eastAsia="Times New Roman" w:hAnsi="Times New Roman"/>
          <w:sz w:val="28"/>
          <w:szCs w:val="28"/>
          <w:b w:val="1"/>
          <w:bCs w:val="1"/>
          <w:color w:val="auto"/>
        </w:rPr>
        <w:t>329</w:t>
      </w:r>
      <w:r>
        <w:rPr>
          <w:rFonts w:ascii="宋体" w:cs="宋体" w:eastAsia="宋体" w:hAnsi="宋体"/>
          <w:sz w:val="28"/>
          <w:szCs w:val="28"/>
          <w:b w:val="1"/>
          <w:bCs w:val="1"/>
          <w:color w:val="auto"/>
        </w:rPr>
        <w:t>亿美元，</w:t>
      </w:r>
      <w:r>
        <w:rPr>
          <w:rFonts w:ascii="Times New Roman" w:cs="Times New Roman" w:eastAsia="Times New Roman" w:hAnsi="Times New Roman"/>
          <w:sz w:val="28"/>
          <w:szCs w:val="28"/>
          <w:b w:val="1"/>
          <w:bCs w:val="1"/>
          <w:color w:val="auto"/>
        </w:rPr>
        <w:t>2021</w:t>
      </w:r>
      <w:r>
        <w:rPr>
          <w:rFonts w:ascii="宋体" w:cs="宋体" w:eastAsia="宋体" w:hAnsi="宋体"/>
          <w:sz w:val="28"/>
          <w:szCs w:val="28"/>
          <w:b w:val="1"/>
          <w:bCs w:val="1"/>
          <w:color w:val="auto"/>
        </w:rPr>
        <w:t>日历年自美采购和进口规模不少于</w:t>
      </w:r>
      <w:r>
        <w:rPr>
          <w:rFonts w:ascii="Times New Roman" w:cs="Times New Roman" w:eastAsia="Times New Roman" w:hAnsi="Times New Roman"/>
          <w:sz w:val="28"/>
          <w:szCs w:val="28"/>
          <w:b w:val="1"/>
          <w:bCs w:val="1"/>
          <w:color w:val="auto"/>
        </w:rPr>
        <w:t>448</w:t>
      </w:r>
      <w:r>
        <w:rPr>
          <w:rFonts w:ascii="宋体" w:cs="宋体" w:eastAsia="宋体" w:hAnsi="宋体"/>
          <w:sz w:val="28"/>
          <w:szCs w:val="28"/>
          <w:b w:val="1"/>
          <w:bCs w:val="1"/>
          <w:color w:val="auto"/>
        </w:rPr>
        <w:t>亿美元。</w:t>
      </w:r>
    </w:p>
    <w:p>
      <w:pPr>
        <w:spacing w:after="0" w:line="377"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（二）在农产品方面，如附录</w:t>
      </w:r>
      <w:r>
        <w:rPr>
          <w:rFonts w:ascii="Times New Roman" w:cs="Times New Roman" w:eastAsia="Times New Roman" w:hAnsi="Times New Roman"/>
          <w:sz w:val="28"/>
          <w:szCs w:val="28"/>
          <w:b w:val="1"/>
          <w:bCs w:val="1"/>
          <w:color w:val="auto"/>
        </w:rPr>
        <w:t>6.1</w:t>
      </w:r>
      <w:r>
        <w:rPr>
          <w:rFonts w:ascii="宋体" w:cs="宋体" w:eastAsia="宋体" w:hAnsi="宋体"/>
          <w:sz w:val="28"/>
          <w:szCs w:val="28"/>
          <w:b w:val="1"/>
          <w:bCs w:val="1"/>
          <w:color w:val="auto"/>
        </w:rPr>
        <w:t>所示，在</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年基数之上，</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中国</w:t>
      </w:r>
      <w:r>
        <w:rPr>
          <w:rFonts w:ascii="Times New Roman" w:cs="Times New Roman" w:eastAsia="Times New Roman" w:hAnsi="Times New Roman"/>
          <w:sz w:val="28"/>
          <w:szCs w:val="28"/>
          <w:b w:val="1"/>
          <w:bCs w:val="1"/>
          <w:color w:val="auto"/>
        </w:rPr>
        <w:t>2020</w:t>
      </w:r>
      <w:r>
        <w:rPr>
          <w:rFonts w:ascii="宋体" w:cs="宋体" w:eastAsia="宋体" w:hAnsi="宋体"/>
          <w:sz w:val="28"/>
          <w:szCs w:val="28"/>
          <w:b w:val="1"/>
          <w:bCs w:val="1"/>
          <w:color w:val="auto"/>
        </w:rPr>
        <w:t>日历年自美采购和进口规模不少于</w:t>
      </w:r>
      <w:r>
        <w:rPr>
          <w:rFonts w:ascii="Times New Roman" w:cs="Times New Roman" w:eastAsia="Times New Roman" w:hAnsi="Times New Roman"/>
          <w:sz w:val="28"/>
          <w:szCs w:val="28"/>
          <w:b w:val="1"/>
          <w:bCs w:val="1"/>
          <w:color w:val="auto"/>
        </w:rPr>
        <w:t>125</w:t>
      </w:r>
      <w:r>
        <w:rPr>
          <w:rFonts w:ascii="宋体" w:cs="宋体" w:eastAsia="宋体" w:hAnsi="宋体"/>
          <w:sz w:val="28"/>
          <w:szCs w:val="28"/>
          <w:b w:val="1"/>
          <w:bCs w:val="1"/>
          <w:color w:val="auto"/>
        </w:rPr>
        <w:t>亿美元，</w:t>
      </w:r>
      <w:r>
        <w:rPr>
          <w:rFonts w:ascii="Times New Roman" w:cs="Times New Roman" w:eastAsia="Times New Roman" w:hAnsi="Times New Roman"/>
          <w:sz w:val="28"/>
          <w:szCs w:val="28"/>
          <w:b w:val="1"/>
          <w:bCs w:val="1"/>
          <w:color w:val="auto"/>
        </w:rPr>
        <w:t>2021</w:t>
      </w:r>
      <w:r>
        <w:rPr>
          <w:rFonts w:ascii="宋体" w:cs="宋体" w:eastAsia="宋体" w:hAnsi="宋体"/>
          <w:sz w:val="28"/>
          <w:szCs w:val="28"/>
          <w:b w:val="1"/>
          <w:bCs w:val="1"/>
          <w:color w:val="auto"/>
        </w:rPr>
        <w:t>日历</w:t>
      </w:r>
    </w:p>
    <w:p>
      <w:pPr>
        <w:spacing w:after="0" w:line="202"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年自美采购和进口规模不少于</w:t>
      </w:r>
      <w:r>
        <w:rPr>
          <w:rFonts w:ascii="Times New Roman" w:cs="Times New Roman" w:eastAsia="Times New Roman" w:hAnsi="Times New Roman"/>
          <w:sz w:val="28"/>
          <w:szCs w:val="28"/>
          <w:b w:val="1"/>
          <w:bCs w:val="1"/>
          <w:color w:val="auto"/>
        </w:rPr>
        <w:t>195</w:t>
      </w:r>
      <w:r>
        <w:rPr>
          <w:rFonts w:ascii="宋体" w:cs="宋体" w:eastAsia="宋体" w:hAnsi="宋体"/>
          <w:sz w:val="28"/>
          <w:szCs w:val="28"/>
          <w:b w:val="1"/>
          <w:bCs w:val="1"/>
          <w:color w:val="auto"/>
        </w:rPr>
        <w:t>亿美元。</w:t>
      </w:r>
    </w:p>
    <w:p>
      <w:pPr>
        <w:spacing w:after="0" w:line="200" w:lineRule="exact"/>
        <w:rPr>
          <w:sz w:val="20"/>
          <w:szCs w:val="20"/>
          <w:color w:val="auto"/>
        </w:rPr>
      </w:pPr>
    </w:p>
    <w:p>
      <w:pPr>
        <w:spacing w:after="0" w:line="223" w:lineRule="exact"/>
        <w:rPr>
          <w:sz w:val="20"/>
          <w:szCs w:val="20"/>
          <w:color w:val="auto"/>
        </w:rPr>
      </w:pPr>
    </w:p>
    <w:p>
      <w:pPr>
        <w:ind w:left="480" w:right="346" w:firstLine="562"/>
        <w:spacing w:after="0" w:line="491" w:lineRule="exact"/>
        <w:rPr>
          <w:sz w:val="20"/>
          <w:szCs w:val="20"/>
          <w:color w:val="auto"/>
        </w:rPr>
      </w:pPr>
      <w:r>
        <w:rPr>
          <w:rFonts w:ascii="宋体" w:cs="宋体" w:eastAsia="宋体" w:hAnsi="宋体"/>
          <w:sz w:val="28"/>
          <w:szCs w:val="28"/>
          <w:b w:val="1"/>
          <w:bCs w:val="1"/>
          <w:color w:val="auto"/>
        </w:rPr>
        <w:t>（三）在能源产品方面，如附录</w:t>
      </w:r>
      <w:r>
        <w:rPr>
          <w:rFonts w:ascii="Times New Roman" w:cs="Times New Roman" w:eastAsia="Times New Roman" w:hAnsi="Times New Roman"/>
          <w:sz w:val="28"/>
          <w:szCs w:val="28"/>
          <w:b w:val="1"/>
          <w:bCs w:val="1"/>
          <w:color w:val="auto"/>
        </w:rPr>
        <w:t>6.1</w:t>
      </w:r>
      <w:r>
        <w:rPr>
          <w:rFonts w:ascii="宋体" w:cs="宋体" w:eastAsia="宋体" w:hAnsi="宋体"/>
          <w:sz w:val="28"/>
          <w:szCs w:val="28"/>
          <w:b w:val="1"/>
          <w:bCs w:val="1"/>
          <w:color w:val="auto"/>
        </w:rPr>
        <w:t>所示，在</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年基数之上，中国</w:t>
      </w:r>
      <w:r>
        <w:rPr>
          <w:rFonts w:ascii="Times New Roman" w:cs="Times New Roman" w:eastAsia="Times New Roman" w:hAnsi="Times New Roman"/>
          <w:sz w:val="28"/>
          <w:szCs w:val="28"/>
          <w:b w:val="1"/>
          <w:bCs w:val="1"/>
          <w:color w:val="auto"/>
        </w:rPr>
        <w:t>2020</w:t>
      </w:r>
      <w:r>
        <w:rPr>
          <w:rFonts w:ascii="宋体" w:cs="宋体" w:eastAsia="宋体" w:hAnsi="宋体"/>
          <w:sz w:val="28"/>
          <w:szCs w:val="28"/>
          <w:b w:val="1"/>
          <w:bCs w:val="1"/>
          <w:color w:val="auto"/>
        </w:rPr>
        <w:t>日历年自美采购和进口规模不少于</w:t>
      </w:r>
      <w:r>
        <w:rPr>
          <w:rFonts w:ascii="Times New Roman" w:cs="Times New Roman" w:eastAsia="Times New Roman" w:hAnsi="Times New Roman"/>
          <w:sz w:val="28"/>
          <w:szCs w:val="28"/>
          <w:b w:val="1"/>
          <w:bCs w:val="1"/>
          <w:color w:val="auto"/>
        </w:rPr>
        <w:t>185</w:t>
      </w:r>
      <w:r>
        <w:rPr>
          <w:rFonts w:ascii="宋体" w:cs="宋体" w:eastAsia="宋体" w:hAnsi="宋体"/>
          <w:sz w:val="28"/>
          <w:szCs w:val="28"/>
          <w:b w:val="1"/>
          <w:bCs w:val="1"/>
          <w:color w:val="auto"/>
        </w:rPr>
        <w:t>亿美元，</w:t>
      </w:r>
      <w:r>
        <w:rPr>
          <w:rFonts w:ascii="Times New Roman" w:cs="Times New Roman" w:eastAsia="Times New Roman" w:hAnsi="Times New Roman"/>
          <w:sz w:val="28"/>
          <w:szCs w:val="28"/>
          <w:b w:val="1"/>
          <w:bCs w:val="1"/>
          <w:color w:val="auto"/>
        </w:rPr>
        <w:t>2021</w:t>
      </w:r>
      <w:r>
        <w:rPr>
          <w:rFonts w:ascii="宋体" w:cs="宋体" w:eastAsia="宋体" w:hAnsi="宋体"/>
          <w:sz w:val="28"/>
          <w:szCs w:val="28"/>
          <w:b w:val="1"/>
          <w:bCs w:val="1"/>
          <w:color w:val="auto"/>
        </w:rPr>
        <w:t>日历年自美采购和进口规模不少于</w:t>
      </w:r>
      <w:r>
        <w:rPr>
          <w:rFonts w:ascii="Times New Roman" w:cs="Times New Roman" w:eastAsia="Times New Roman" w:hAnsi="Times New Roman"/>
          <w:sz w:val="28"/>
          <w:szCs w:val="28"/>
          <w:b w:val="1"/>
          <w:bCs w:val="1"/>
          <w:color w:val="auto"/>
        </w:rPr>
        <w:t>339</w:t>
      </w:r>
      <w:r>
        <w:rPr>
          <w:rFonts w:ascii="宋体" w:cs="宋体" w:eastAsia="宋体" w:hAnsi="宋体"/>
          <w:sz w:val="28"/>
          <w:szCs w:val="28"/>
          <w:b w:val="1"/>
          <w:bCs w:val="1"/>
          <w:color w:val="auto"/>
        </w:rPr>
        <w:t>亿美元。</w:t>
      </w:r>
    </w:p>
    <w:p>
      <w:pPr>
        <w:spacing w:after="0" w:line="380"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（四）在服务方面，如附录</w:t>
      </w:r>
      <w:r>
        <w:rPr>
          <w:rFonts w:ascii="Times New Roman" w:cs="Times New Roman" w:eastAsia="Times New Roman" w:hAnsi="Times New Roman"/>
          <w:sz w:val="28"/>
          <w:szCs w:val="28"/>
          <w:b w:val="1"/>
          <w:bCs w:val="1"/>
          <w:color w:val="auto"/>
        </w:rPr>
        <w:t>6.1</w:t>
      </w:r>
      <w:r>
        <w:rPr>
          <w:rFonts w:ascii="宋体" w:cs="宋体" w:eastAsia="宋体" w:hAnsi="宋体"/>
          <w:sz w:val="28"/>
          <w:szCs w:val="28"/>
          <w:b w:val="1"/>
          <w:bCs w:val="1"/>
          <w:color w:val="auto"/>
        </w:rPr>
        <w:t>所示，在</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年基数之上，中</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国</w:t>
      </w:r>
      <w:r>
        <w:rPr>
          <w:rFonts w:ascii="Times New Roman" w:cs="Times New Roman" w:eastAsia="Times New Roman" w:hAnsi="Times New Roman"/>
          <w:sz w:val="28"/>
          <w:szCs w:val="28"/>
          <w:b w:val="1"/>
          <w:bCs w:val="1"/>
          <w:color w:val="auto"/>
        </w:rPr>
        <w:t>2020</w:t>
      </w:r>
      <w:r>
        <w:rPr>
          <w:rFonts w:ascii="宋体" w:cs="宋体" w:eastAsia="宋体" w:hAnsi="宋体"/>
          <w:sz w:val="28"/>
          <w:szCs w:val="28"/>
          <w:b w:val="1"/>
          <w:bCs w:val="1"/>
          <w:color w:val="auto"/>
        </w:rPr>
        <w:t>日历年自美采购和进口规模不少于</w:t>
      </w:r>
      <w:r>
        <w:rPr>
          <w:rFonts w:ascii="Times New Roman" w:cs="Times New Roman" w:eastAsia="Times New Roman" w:hAnsi="Times New Roman"/>
          <w:sz w:val="28"/>
          <w:szCs w:val="28"/>
          <w:b w:val="1"/>
          <w:bCs w:val="1"/>
          <w:color w:val="auto"/>
        </w:rPr>
        <w:t>128</w:t>
      </w:r>
      <w:r>
        <w:rPr>
          <w:rFonts w:ascii="宋体" w:cs="宋体" w:eastAsia="宋体" w:hAnsi="宋体"/>
          <w:sz w:val="28"/>
          <w:szCs w:val="28"/>
          <w:b w:val="1"/>
          <w:bCs w:val="1"/>
          <w:color w:val="auto"/>
        </w:rPr>
        <w:t>亿美元，</w:t>
      </w:r>
      <w:r>
        <w:rPr>
          <w:rFonts w:ascii="Times New Roman" w:cs="Times New Roman" w:eastAsia="Times New Roman" w:hAnsi="Times New Roman"/>
          <w:sz w:val="28"/>
          <w:szCs w:val="28"/>
          <w:b w:val="1"/>
          <w:bCs w:val="1"/>
          <w:color w:val="auto"/>
        </w:rPr>
        <w:t>2021</w:t>
      </w:r>
      <w:r>
        <w:rPr>
          <w:rFonts w:ascii="宋体" w:cs="宋体" w:eastAsia="宋体" w:hAnsi="宋体"/>
          <w:sz w:val="28"/>
          <w:szCs w:val="28"/>
          <w:b w:val="1"/>
          <w:bCs w:val="1"/>
          <w:color w:val="auto"/>
        </w:rPr>
        <w:t>日历年</w:t>
      </w:r>
    </w:p>
    <w:p>
      <w:pPr>
        <w:spacing w:after="0" w:line="204"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自美采购和进口规模不少于</w:t>
      </w:r>
      <w:r>
        <w:rPr>
          <w:rFonts w:ascii="Times New Roman" w:cs="Times New Roman" w:eastAsia="Times New Roman" w:hAnsi="Times New Roman"/>
          <w:sz w:val="28"/>
          <w:szCs w:val="28"/>
          <w:b w:val="1"/>
          <w:bCs w:val="1"/>
          <w:color w:val="auto"/>
        </w:rPr>
        <w:t>251</w:t>
      </w:r>
      <w:r>
        <w:rPr>
          <w:rFonts w:ascii="宋体" w:cs="宋体" w:eastAsia="宋体" w:hAnsi="宋体"/>
          <w:sz w:val="28"/>
          <w:szCs w:val="28"/>
          <w:b w:val="1"/>
          <w:bCs w:val="1"/>
          <w:color w:val="auto"/>
        </w:rPr>
        <w:t>亿美元。</w:t>
      </w:r>
    </w:p>
    <w:p>
      <w:pPr>
        <w:spacing w:after="0" w:line="200" w:lineRule="exact"/>
        <w:rPr>
          <w:sz w:val="20"/>
          <w:szCs w:val="20"/>
          <w:color w:val="auto"/>
        </w:rPr>
      </w:pPr>
    </w:p>
    <w:p>
      <w:pPr>
        <w:spacing w:after="0" w:line="223" w:lineRule="exact"/>
        <w:rPr>
          <w:sz w:val="20"/>
          <w:szCs w:val="20"/>
          <w:color w:val="auto"/>
        </w:rPr>
      </w:pPr>
    </w:p>
    <w:p>
      <w:pPr>
        <w:ind w:left="480" w:right="606" w:firstLine="550"/>
        <w:spacing w:after="0" w:line="439" w:lineRule="exact"/>
        <w:rPr>
          <w:sz w:val="20"/>
          <w:szCs w:val="20"/>
          <w:color w:val="auto"/>
        </w:rPr>
      </w:pPr>
      <w:r>
        <w:rPr>
          <w:rFonts w:ascii="黑体" w:cs="黑体" w:eastAsia="黑体" w:hAnsi="黑体"/>
          <w:sz w:val="28"/>
          <w:szCs w:val="28"/>
          <w:b w:val="1"/>
          <w:bCs w:val="1"/>
          <w:color w:val="auto"/>
        </w:rPr>
        <w:t>二、</w:t>
      </w:r>
      <w:r>
        <w:rPr>
          <w:rFonts w:ascii="宋体" w:cs="宋体" w:eastAsia="宋体" w:hAnsi="宋体"/>
          <w:sz w:val="28"/>
          <w:szCs w:val="28"/>
          <w:b w:val="1"/>
          <w:bCs w:val="1"/>
          <w:color w:val="auto"/>
        </w:rPr>
        <w:t>双方应视情明确附录</w:t>
      </w:r>
      <w:r>
        <w:rPr>
          <w:rFonts w:ascii="Times New Roman" w:cs="Times New Roman" w:eastAsia="Times New Roman" w:hAnsi="Times New Roman"/>
          <w:sz w:val="28"/>
          <w:szCs w:val="28"/>
          <w:b w:val="1"/>
          <w:bCs w:val="1"/>
          <w:color w:val="auto"/>
        </w:rPr>
        <w:t>6.1</w:t>
      </w:r>
      <w:r>
        <w:rPr>
          <w:rFonts w:ascii="宋体" w:cs="宋体" w:eastAsia="宋体" w:hAnsi="宋体"/>
          <w:sz w:val="28"/>
          <w:szCs w:val="28"/>
          <w:b w:val="1"/>
          <w:bCs w:val="1"/>
          <w:color w:val="auto"/>
        </w:rPr>
        <w:t>中二级目录产品的采购和进口增加额。</w:t>
      </w:r>
    </w:p>
    <w:p>
      <w:pPr>
        <w:spacing w:after="0" w:line="200" w:lineRule="exact"/>
        <w:rPr>
          <w:sz w:val="20"/>
          <w:szCs w:val="20"/>
          <w:color w:val="auto"/>
        </w:rPr>
      </w:pPr>
    </w:p>
    <w:p>
      <w:pPr>
        <w:spacing w:after="0" w:line="228" w:lineRule="exact"/>
        <w:rPr>
          <w:sz w:val="20"/>
          <w:szCs w:val="20"/>
          <w:color w:val="auto"/>
        </w:rPr>
      </w:pPr>
    </w:p>
    <w:p>
      <w:pPr>
        <w:ind w:left="480" w:right="486" w:firstLine="562"/>
        <w:spacing w:after="0" w:line="440" w:lineRule="exact"/>
        <w:rPr>
          <w:sz w:val="20"/>
          <w:szCs w:val="20"/>
          <w:color w:val="auto"/>
        </w:rPr>
      </w:pPr>
      <w:r>
        <w:rPr>
          <w:rFonts w:ascii="黑体" w:cs="黑体" w:eastAsia="黑体" w:hAnsi="黑体"/>
          <w:sz w:val="28"/>
          <w:szCs w:val="28"/>
          <w:b w:val="1"/>
          <w:bCs w:val="1"/>
          <w:color w:val="auto"/>
        </w:rPr>
        <w:t>三、</w:t>
      </w:r>
      <w:r>
        <w:rPr>
          <w:rFonts w:ascii="宋体" w:cs="宋体" w:eastAsia="宋体" w:hAnsi="宋体"/>
          <w:sz w:val="28"/>
          <w:szCs w:val="28"/>
          <w:b w:val="1"/>
          <w:bCs w:val="1"/>
          <w:color w:val="auto"/>
        </w:rPr>
        <w:t>双方预测，从</w:t>
      </w:r>
      <w:r>
        <w:rPr>
          <w:rFonts w:ascii="Times New Roman" w:cs="Times New Roman" w:eastAsia="Times New Roman" w:hAnsi="Times New Roman"/>
          <w:sz w:val="28"/>
          <w:szCs w:val="28"/>
          <w:b w:val="1"/>
          <w:bCs w:val="1"/>
          <w:color w:val="auto"/>
        </w:rPr>
        <w:t>2022</w:t>
      </w:r>
      <w:r>
        <w:rPr>
          <w:rFonts w:ascii="宋体" w:cs="宋体" w:eastAsia="宋体" w:hAnsi="宋体"/>
          <w:sz w:val="28"/>
          <w:szCs w:val="28"/>
          <w:b w:val="1"/>
          <w:bCs w:val="1"/>
          <w:color w:val="auto"/>
        </w:rPr>
        <w:t>日历年至</w:t>
      </w:r>
      <w:r>
        <w:rPr>
          <w:rFonts w:ascii="Times New Roman" w:cs="Times New Roman" w:eastAsia="Times New Roman" w:hAnsi="Times New Roman"/>
          <w:sz w:val="28"/>
          <w:szCs w:val="28"/>
          <w:b w:val="1"/>
          <w:bCs w:val="1"/>
          <w:color w:val="auto"/>
        </w:rPr>
        <w:t>2025</w:t>
      </w:r>
      <w:r>
        <w:rPr>
          <w:rFonts w:ascii="宋体" w:cs="宋体" w:eastAsia="宋体" w:hAnsi="宋体"/>
          <w:sz w:val="28"/>
          <w:szCs w:val="28"/>
          <w:b w:val="1"/>
          <w:bCs w:val="1"/>
          <w:color w:val="auto"/>
        </w:rPr>
        <w:t>日历年，中国自美采购和进口制成品、农产品、能源产品和服务将继续保持增长方向。</w:t>
      </w:r>
    </w:p>
    <w:p>
      <w:pPr>
        <w:spacing w:after="0" w:line="200" w:lineRule="exact"/>
        <w:rPr>
          <w:sz w:val="20"/>
          <w:szCs w:val="20"/>
          <w:color w:val="auto"/>
        </w:rPr>
      </w:pPr>
    </w:p>
    <w:p>
      <w:pPr>
        <w:spacing w:after="0" w:line="286" w:lineRule="exact"/>
        <w:rPr>
          <w:sz w:val="20"/>
          <w:szCs w:val="20"/>
          <w:color w:val="auto"/>
        </w:rPr>
      </w:pPr>
    </w:p>
    <w:p>
      <w:pPr>
        <w:ind w:left="480" w:right="486" w:firstLine="562"/>
        <w:spacing w:after="0" w:line="412" w:lineRule="exact"/>
        <w:rPr>
          <w:sz w:val="20"/>
          <w:szCs w:val="20"/>
          <w:color w:val="auto"/>
        </w:rPr>
      </w:pPr>
      <w:r>
        <w:rPr>
          <w:rFonts w:ascii="黑体" w:cs="黑体" w:eastAsia="黑体" w:hAnsi="黑体"/>
          <w:sz w:val="28"/>
          <w:szCs w:val="28"/>
          <w:b w:val="1"/>
          <w:bCs w:val="1"/>
          <w:color w:val="auto"/>
        </w:rPr>
        <w:t>四、</w:t>
      </w:r>
      <w:r>
        <w:rPr>
          <w:rFonts w:ascii="宋体" w:cs="宋体" w:eastAsia="宋体" w:hAnsi="宋体"/>
          <w:sz w:val="28"/>
          <w:szCs w:val="28"/>
          <w:b w:val="1"/>
          <w:bCs w:val="1"/>
          <w:color w:val="auto"/>
        </w:rPr>
        <w:t>美国应确保采取适当举措，以便有足够的美国商品和服务供中国采购和进口。</w:t>
      </w:r>
    </w:p>
    <w:p>
      <w:pPr>
        <w:spacing w:after="0" w:line="200" w:lineRule="exact"/>
        <w:rPr>
          <w:sz w:val="20"/>
          <w:szCs w:val="20"/>
          <w:color w:val="auto"/>
        </w:rPr>
      </w:pPr>
    </w:p>
    <w:p>
      <w:pPr>
        <w:spacing w:after="0" w:line="247" w:lineRule="exact"/>
        <w:rPr>
          <w:sz w:val="20"/>
          <w:szCs w:val="20"/>
          <w:color w:val="auto"/>
        </w:rPr>
      </w:pPr>
    </w:p>
    <w:p>
      <w:pPr>
        <w:ind w:left="1040"/>
        <w:spacing w:after="0" w:line="320" w:lineRule="exact"/>
        <w:rPr>
          <w:sz w:val="20"/>
          <w:szCs w:val="20"/>
          <w:color w:val="auto"/>
        </w:rPr>
      </w:pPr>
      <w:r>
        <w:rPr>
          <w:rFonts w:ascii="黑体" w:cs="黑体" w:eastAsia="黑体" w:hAnsi="黑体"/>
          <w:sz w:val="28"/>
          <w:szCs w:val="28"/>
          <w:b w:val="1"/>
          <w:bCs w:val="1"/>
          <w:color w:val="auto"/>
        </w:rPr>
        <w:t>五、</w:t>
      </w:r>
      <w:r>
        <w:rPr>
          <w:rFonts w:ascii="宋体" w:cs="宋体" w:eastAsia="宋体" w:hAnsi="宋体"/>
          <w:sz w:val="28"/>
          <w:szCs w:val="28"/>
          <w:b w:val="1"/>
          <w:bCs w:val="1"/>
          <w:color w:val="auto"/>
        </w:rPr>
        <w:t>双方承认，将基于市场价格和商业考虑开展采购活动。而</w:t>
      </w:r>
    </w:p>
    <w:p>
      <w:pPr>
        <w:spacing w:after="0" w:line="221"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且在特定年份，市场状况可能会影响采购的时点，尤其是在农产品</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采购方面。</w:t>
      </w:r>
    </w:p>
    <w:p>
      <w:pPr>
        <w:sectPr>
          <w:pgSz w:w="11900" w:h="16838" w:orient="portrait"/>
          <w:cols w:equalWidth="0" w:num="1">
            <w:col w:w="9026"/>
          </w:cols>
          <w:pgMar w:left="1440" w:top="1440" w:right="1440" w:bottom="4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6-2</w:t>
      </w:r>
    </w:p>
    <w:p>
      <w:pPr>
        <w:sectPr>
          <w:pgSz w:w="11900" w:h="16838" w:orient="portrait"/>
          <w:cols w:equalWidth="0" w:num="1">
            <w:col w:w="9026"/>
          </w:cols>
          <w:pgMar w:left="1440" w:top="1440" w:right="1440" w:bottom="465" w:gutter="0" w:footer="0" w:header="0"/>
          <w:type w:val="continuous"/>
        </w:sectPr>
      </w:pPr>
    </w:p>
    <w:bookmarkStart w:id="75" w:name="page76"/>
    <w:bookmarkEnd w:id="75"/>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480" w:right="206" w:firstLine="550"/>
        <w:spacing w:after="0" w:line="456" w:lineRule="exact"/>
        <w:rPr>
          <w:sz w:val="20"/>
          <w:szCs w:val="20"/>
          <w:color w:val="auto"/>
        </w:rPr>
      </w:pPr>
      <w:r>
        <w:rPr>
          <w:rFonts w:ascii="黑体" w:cs="黑体" w:eastAsia="黑体" w:hAnsi="黑体"/>
          <w:sz w:val="28"/>
          <w:szCs w:val="28"/>
          <w:b w:val="1"/>
          <w:bCs w:val="1"/>
          <w:color w:val="auto"/>
        </w:rPr>
        <w:t>六、</w:t>
      </w:r>
      <w:r>
        <w:rPr>
          <w:rFonts w:ascii="宋体" w:cs="宋体" w:eastAsia="宋体" w:hAnsi="宋体"/>
          <w:sz w:val="28"/>
          <w:szCs w:val="28"/>
          <w:b w:val="1"/>
          <w:bCs w:val="1"/>
          <w:color w:val="auto"/>
        </w:rPr>
        <w:t>中美两国的官方贸易数据应用于判定本章节是否得到落实。如果基于各自贸易数据分析得出相互矛盾的评价，双方应就此进行磋商。</w:t>
      </w:r>
    </w:p>
    <w:p>
      <w:pPr>
        <w:spacing w:after="0" w:line="200" w:lineRule="exact"/>
        <w:rPr>
          <w:sz w:val="20"/>
          <w:szCs w:val="20"/>
          <w:color w:val="auto"/>
        </w:rPr>
      </w:pPr>
    </w:p>
    <w:p>
      <w:pPr>
        <w:spacing w:after="0" w:line="251" w:lineRule="exact"/>
        <w:rPr>
          <w:sz w:val="20"/>
          <w:szCs w:val="20"/>
          <w:color w:val="auto"/>
        </w:rPr>
      </w:pPr>
    </w:p>
    <w:p>
      <w:pPr>
        <w:ind w:left="1040"/>
        <w:spacing w:after="0" w:line="320" w:lineRule="exact"/>
        <w:rPr>
          <w:sz w:val="20"/>
          <w:szCs w:val="20"/>
          <w:color w:val="auto"/>
        </w:rPr>
      </w:pPr>
      <w:r>
        <w:rPr>
          <w:rFonts w:ascii="黑体" w:cs="黑体" w:eastAsia="黑体" w:hAnsi="黑体"/>
          <w:sz w:val="28"/>
          <w:szCs w:val="28"/>
          <w:b w:val="1"/>
          <w:bCs w:val="1"/>
          <w:color w:val="auto"/>
        </w:rPr>
        <w:t>七、</w:t>
      </w:r>
      <w:r>
        <w:rPr>
          <w:rFonts w:ascii="宋体" w:cs="宋体" w:eastAsia="宋体" w:hAnsi="宋体"/>
          <w:sz w:val="28"/>
          <w:szCs w:val="28"/>
          <w:b w:val="1"/>
          <w:bCs w:val="1"/>
          <w:color w:val="auto"/>
        </w:rPr>
        <w:t>如中国认为其落实本章节义务的能力受到美国采取或未采</w:t>
      </w:r>
    </w:p>
    <w:p>
      <w:pPr>
        <w:spacing w:after="0" w:line="221"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取行动或美国内其他情况的影响，中国有权提出与美国进行磋商。</w:t>
      </w:r>
    </w:p>
    <w:p>
      <w:pPr>
        <w:sectPr>
          <w:pgSz w:w="11900" w:h="16838" w:orient="portrait"/>
          <w:cols w:equalWidth="0" w:num="1">
            <w:col w:w="9026"/>
          </w:cols>
          <w:pgMar w:left="1440" w:top="1440" w:right="1440" w:bottom="4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6-3</w:t>
      </w:r>
    </w:p>
    <w:p>
      <w:pPr>
        <w:sectPr>
          <w:pgSz w:w="11900" w:h="16838" w:orient="portrait"/>
          <w:cols w:equalWidth="0" w:num="1">
            <w:col w:w="9026"/>
          </w:cols>
          <w:pgMar w:left="1440" w:top="1440" w:right="1440" w:bottom="465" w:gutter="0" w:footer="0" w:header="0"/>
          <w:type w:val="continuous"/>
        </w:sectPr>
      </w:pPr>
    </w:p>
    <w:bookmarkStart w:id="76" w:name="page77"/>
    <w:bookmarkEnd w:id="76"/>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1152525</wp:posOffset>
            </wp:positionH>
            <wp:positionV relativeFrom="page">
              <wp:posOffset>1675130</wp:posOffset>
            </wp:positionV>
            <wp:extent cx="5255260" cy="5770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255260" cy="57708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tbl>
      <w:tblPr>
        <w:tblLayout w:type="fixed"/>
        <w:tblInd w:w="380" w:type="dxa"/>
        <w:tblCellMar>
          <w:top w:w="0" w:type="dxa"/>
          <w:left w:w="0" w:type="dxa"/>
          <w:bottom w:w="0" w:type="dxa"/>
          <w:right w:w="0" w:type="dxa"/>
        </w:tblCellMar>
      </w:tblPr>
      <w:tr>
        <w:trPr>
          <w:trHeight w:val="386"/>
        </w:trPr>
        <w:tc>
          <w:tcPr>
            <w:tcW w:w="2700" w:type="dxa"/>
            <w:vAlign w:val="bottom"/>
          </w:tcPr>
          <w:p>
            <w:pPr>
              <w:ind w:left="1720"/>
              <w:spacing w:after="0" w:line="341" w:lineRule="exact"/>
              <w:rPr>
                <w:sz w:val="20"/>
                <w:szCs w:val="20"/>
                <w:color w:val="auto"/>
              </w:rPr>
            </w:pPr>
            <w:r>
              <w:rPr>
                <w:rFonts w:ascii="黑体" w:cs="黑体" w:eastAsia="黑体" w:hAnsi="黑体"/>
                <w:sz w:val="28"/>
                <w:szCs w:val="28"/>
                <w:b w:val="1"/>
                <w:bCs w:val="1"/>
                <w:color w:val="auto"/>
              </w:rPr>
              <w:t>附录</w:t>
            </w:r>
            <w:r>
              <w:rPr>
                <w:rFonts w:ascii="Times New Roman" w:cs="Times New Roman" w:eastAsia="Times New Roman" w:hAnsi="Times New Roman"/>
                <w:sz w:val="28"/>
                <w:szCs w:val="28"/>
                <w:b w:val="1"/>
                <w:bCs w:val="1"/>
                <w:color w:val="auto"/>
              </w:rPr>
              <w:t>6.1</w:t>
            </w:r>
          </w:p>
        </w:tc>
        <w:tc>
          <w:tcPr>
            <w:tcW w:w="4060" w:type="dxa"/>
            <w:vAlign w:val="bottom"/>
            <w:gridSpan w:val="4"/>
          </w:tcPr>
          <w:p>
            <w:pPr>
              <w:ind w:left="60"/>
              <w:spacing w:after="0" w:line="320" w:lineRule="exact"/>
              <w:rPr>
                <w:sz w:val="20"/>
                <w:szCs w:val="20"/>
                <w:color w:val="auto"/>
              </w:rPr>
            </w:pPr>
            <w:r>
              <w:rPr>
                <w:rFonts w:ascii="黑体" w:cs="黑体" w:eastAsia="黑体" w:hAnsi="黑体"/>
                <w:sz w:val="28"/>
                <w:szCs w:val="28"/>
                <w:b w:val="1"/>
                <w:bCs w:val="1"/>
                <w:color w:val="auto"/>
              </w:rPr>
              <w:t>美国未来两年增加的对中国出口</w:t>
            </w: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43"/>
        </w:trPr>
        <w:tc>
          <w:tcPr>
            <w:tcW w:w="2700" w:type="dxa"/>
            <w:vAlign w:val="bottom"/>
            <w:tcBorders>
              <w:bottom w:val="single" w:sz="8" w:color="auto"/>
            </w:tcBorders>
          </w:tcPr>
          <w:p>
            <w:pPr>
              <w:spacing w:after="0"/>
              <w:rPr>
                <w:sz w:val="12"/>
                <w:szCs w:val="12"/>
                <w:color w:val="auto"/>
              </w:rPr>
            </w:pPr>
          </w:p>
        </w:tc>
        <w:tc>
          <w:tcPr>
            <w:tcW w:w="94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520" w:type="dxa"/>
            <w:vAlign w:val="bottom"/>
            <w:tcBorders>
              <w:bottom w:val="single" w:sz="8" w:color="auto"/>
            </w:tcBorders>
          </w:tcPr>
          <w:p>
            <w:pPr>
              <w:spacing w:after="0"/>
              <w:rPr>
                <w:sz w:val="12"/>
                <w:szCs w:val="12"/>
                <w:color w:val="auto"/>
              </w:rPr>
            </w:pPr>
          </w:p>
        </w:tc>
        <w:tc>
          <w:tcPr>
            <w:tcW w:w="15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1480" w:type="dxa"/>
            <w:vAlign w:val="bottom"/>
            <w:tcBorders>
              <w:bottom w:val="single" w:sz="8" w:color="auto"/>
            </w:tcBorders>
          </w:tcPr>
          <w:p>
            <w:pPr>
              <w:spacing w:after="0"/>
              <w:rPr>
                <w:sz w:val="12"/>
                <w:szCs w:val="12"/>
                <w:color w:val="auto"/>
              </w:rPr>
            </w:pPr>
          </w:p>
        </w:tc>
        <w:tc>
          <w:tcPr>
            <w:tcW w:w="20" w:type="dxa"/>
            <w:vAlign w:val="bottom"/>
            <w:tcBorders>
              <w:bottom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0"/>
        </w:trPr>
        <w:tc>
          <w:tcPr>
            <w:tcW w:w="2700" w:type="dxa"/>
            <w:vAlign w:val="bottom"/>
          </w:tcPr>
          <w:p>
            <w:pPr>
              <w:ind w:left="100"/>
              <w:spacing w:after="0" w:line="311" w:lineRule="exact"/>
              <w:rPr>
                <w:sz w:val="20"/>
                <w:szCs w:val="20"/>
                <w:color w:val="auto"/>
              </w:rPr>
            </w:pPr>
            <w:r>
              <w:rPr>
                <w:rFonts w:ascii="宋体" w:cs="宋体" w:eastAsia="宋体" w:hAnsi="宋体"/>
                <w:sz w:val="28"/>
                <w:szCs w:val="28"/>
                <w:b w:val="1"/>
                <w:bCs w:val="1"/>
                <w:color w:val="auto"/>
              </w:rPr>
              <w:t>单位：十亿美元</w:t>
            </w: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
        </w:trPr>
        <w:tc>
          <w:tcPr>
            <w:tcW w:w="270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4600" w:type="dxa"/>
            <w:vAlign w:val="bottom"/>
            <w:tcBorders>
              <w:bottom w:val="single" w:sz="8" w:color="auto"/>
            </w:tcBorders>
            <w:gridSpan w:val="4"/>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5"/>
        </w:trPr>
        <w:tc>
          <w:tcPr>
            <w:tcW w:w="27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600" w:type="dxa"/>
            <w:vAlign w:val="bottom"/>
            <w:gridSpan w:val="4"/>
          </w:tcPr>
          <w:p>
            <w:pPr>
              <w:ind w:left="340"/>
              <w:spacing w:after="0" w:line="341" w:lineRule="exact"/>
              <w:rPr>
                <w:sz w:val="20"/>
                <w:szCs w:val="20"/>
                <w:color w:val="auto"/>
              </w:rPr>
            </w:pPr>
            <w:r>
              <w:rPr>
                <w:rFonts w:ascii="宋体" w:cs="宋体" w:eastAsia="宋体" w:hAnsi="宋体"/>
                <w:sz w:val="28"/>
                <w:szCs w:val="28"/>
                <w:b w:val="1"/>
                <w:bCs w:val="1"/>
                <w:color w:val="auto"/>
              </w:rPr>
              <w:t>基于</w:t>
            </w:r>
            <w:r>
              <w:rPr>
                <w:rFonts w:ascii="Times New Roman" w:cs="Times New Roman" w:eastAsia="Times New Roman" w:hAnsi="Times New Roman"/>
                <w:sz w:val="28"/>
                <w:szCs w:val="28"/>
                <w:b w:val="1"/>
                <w:bCs w:val="1"/>
                <w:color w:val="auto"/>
              </w:rPr>
              <w:t>2017</w:t>
            </w:r>
            <w:r>
              <w:rPr>
                <w:rFonts w:ascii="宋体" w:cs="宋体" w:eastAsia="宋体" w:hAnsi="宋体"/>
                <w:sz w:val="28"/>
                <w:szCs w:val="28"/>
                <w:b w:val="1"/>
                <w:bCs w:val="1"/>
                <w:color w:val="auto"/>
              </w:rPr>
              <w:t>基年的美国对中国出口</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2700" w:type="dxa"/>
            <w:vAlign w:val="bottom"/>
            <w:vMerge w:val="restart"/>
          </w:tcPr>
          <w:p>
            <w:pPr>
              <w:ind w:left="1260"/>
              <w:spacing w:after="0" w:line="320" w:lineRule="exact"/>
              <w:rPr>
                <w:sz w:val="20"/>
                <w:szCs w:val="20"/>
                <w:color w:val="auto"/>
              </w:rPr>
            </w:pPr>
            <w:r>
              <w:rPr>
                <w:rFonts w:ascii="宋体" w:cs="宋体" w:eastAsia="宋体" w:hAnsi="宋体"/>
                <w:sz w:val="28"/>
                <w:szCs w:val="28"/>
                <w:b w:val="1"/>
                <w:bCs w:val="1"/>
                <w:color w:val="auto"/>
              </w:rPr>
              <w:t>产品目录</w:t>
            </w: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580" w:type="dxa"/>
            <w:vAlign w:val="bottom"/>
          </w:tcPr>
          <w:p>
            <w:pPr>
              <w:ind w:left="500"/>
              <w:spacing w:after="0" w:line="299" w:lineRule="exact"/>
              <w:rPr>
                <w:sz w:val="20"/>
                <w:szCs w:val="20"/>
                <w:color w:val="auto"/>
              </w:rPr>
            </w:pPr>
            <w:r>
              <w:rPr>
                <w:rFonts w:ascii="宋体" w:cs="宋体" w:eastAsia="宋体" w:hAnsi="宋体"/>
                <w:sz w:val="28"/>
                <w:szCs w:val="28"/>
                <w:b w:val="1"/>
                <w:bCs w:val="1"/>
                <w:color w:val="auto"/>
              </w:rPr>
              <w:t>增量</w:t>
            </w:r>
          </w:p>
        </w:tc>
        <w:tc>
          <w:tcPr>
            <w:tcW w:w="2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2700" w:type="dxa"/>
            <w:vAlign w:val="bottom"/>
            <w:vMerge w:val="continue"/>
          </w:tcPr>
          <w:p>
            <w:pPr>
              <w:spacing w:after="0"/>
              <w:rPr>
                <w:sz w:val="6"/>
                <w:szCs w:val="6"/>
                <w:color w:val="auto"/>
              </w:rPr>
            </w:pPr>
          </w:p>
        </w:tc>
        <w:tc>
          <w:tcPr>
            <w:tcW w:w="940" w:type="dxa"/>
            <w:vAlign w:val="bottom"/>
          </w:tcPr>
          <w:p>
            <w:pPr>
              <w:spacing w:after="0"/>
              <w:rPr>
                <w:sz w:val="6"/>
                <w:szCs w:val="6"/>
                <w:color w:val="auto"/>
              </w:rPr>
            </w:pPr>
          </w:p>
        </w:tc>
        <w:tc>
          <w:tcPr>
            <w:tcW w:w="20" w:type="dxa"/>
            <w:vAlign w:val="bottom"/>
          </w:tcPr>
          <w:p>
            <w:pPr>
              <w:spacing w:after="0"/>
              <w:rPr>
                <w:sz w:val="6"/>
                <w:szCs w:val="6"/>
                <w:color w:val="auto"/>
              </w:rPr>
            </w:pPr>
          </w:p>
        </w:tc>
        <w:tc>
          <w:tcPr>
            <w:tcW w:w="1520" w:type="dxa"/>
            <w:vAlign w:val="bottom"/>
          </w:tcPr>
          <w:p>
            <w:pPr>
              <w:spacing w:after="0"/>
              <w:rPr>
                <w:sz w:val="6"/>
                <w:szCs w:val="6"/>
                <w:color w:val="auto"/>
              </w:rPr>
            </w:pPr>
          </w:p>
        </w:tc>
        <w:tc>
          <w:tcPr>
            <w:tcW w:w="1580" w:type="dxa"/>
            <w:vAlign w:val="bottom"/>
          </w:tcPr>
          <w:p>
            <w:pPr>
              <w:spacing w:after="0"/>
              <w:rPr>
                <w:sz w:val="6"/>
                <w:szCs w:val="6"/>
                <w:color w:val="auto"/>
              </w:rPr>
            </w:pPr>
          </w:p>
        </w:tc>
        <w:tc>
          <w:tcPr>
            <w:tcW w:w="20" w:type="dxa"/>
            <w:vAlign w:val="bottom"/>
          </w:tcPr>
          <w:p>
            <w:pPr>
              <w:spacing w:after="0"/>
              <w:rPr>
                <w:sz w:val="6"/>
                <w:szCs w:val="6"/>
                <w:color w:val="auto"/>
              </w:rPr>
            </w:pPr>
          </w:p>
        </w:tc>
        <w:tc>
          <w:tcPr>
            <w:tcW w:w="1480" w:type="dxa"/>
            <w:vAlign w:val="bottom"/>
          </w:tcPr>
          <w:p>
            <w:pPr>
              <w:spacing w:after="0"/>
              <w:rPr>
                <w:sz w:val="6"/>
                <w:szCs w:val="6"/>
                <w:color w:val="auto"/>
              </w:rPr>
            </w:pPr>
          </w:p>
        </w:tc>
        <w:tc>
          <w:tcPr>
            <w:tcW w:w="2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06"/>
        </w:trPr>
        <w:tc>
          <w:tcPr>
            <w:tcW w:w="2700" w:type="dxa"/>
            <w:vAlign w:val="bottom"/>
          </w:tcPr>
          <w:p>
            <w:pPr>
              <w:spacing w:after="0"/>
              <w:rPr>
                <w:sz w:val="9"/>
                <w:szCs w:val="9"/>
                <w:color w:val="auto"/>
              </w:rPr>
            </w:pPr>
          </w:p>
        </w:tc>
        <w:tc>
          <w:tcPr>
            <w:tcW w:w="940" w:type="dxa"/>
            <w:vAlign w:val="bottom"/>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520" w:type="dxa"/>
            <w:vAlign w:val="bottom"/>
            <w:tcBorders>
              <w:bottom w:val="single" w:sz="8" w:color="auto"/>
            </w:tcBorders>
          </w:tcPr>
          <w:p>
            <w:pPr>
              <w:spacing w:after="0"/>
              <w:rPr>
                <w:sz w:val="9"/>
                <w:szCs w:val="9"/>
                <w:color w:val="auto"/>
              </w:rPr>
            </w:pPr>
          </w:p>
        </w:tc>
        <w:tc>
          <w:tcPr>
            <w:tcW w:w="158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1480" w:type="dxa"/>
            <w:vAlign w:val="bottom"/>
            <w:tcBorders>
              <w:bottom w:val="single" w:sz="8" w:color="auto"/>
            </w:tcBorders>
          </w:tcPr>
          <w:p>
            <w:pPr>
              <w:spacing w:after="0"/>
              <w:rPr>
                <w:sz w:val="9"/>
                <w:szCs w:val="9"/>
                <w:color w:val="auto"/>
              </w:rPr>
            </w:pPr>
          </w:p>
        </w:tc>
        <w:tc>
          <w:tcPr>
            <w:tcW w:w="2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11"/>
        </w:trPr>
        <w:tc>
          <w:tcPr>
            <w:tcW w:w="2700" w:type="dxa"/>
            <w:vAlign w:val="bottom"/>
          </w:tcPr>
          <w:p>
            <w:pPr>
              <w:spacing w:after="0"/>
              <w:rPr>
                <w:sz w:val="24"/>
                <w:szCs w:val="24"/>
                <w:color w:val="auto"/>
              </w:rPr>
            </w:pPr>
          </w:p>
        </w:tc>
        <w:tc>
          <w:tcPr>
            <w:tcW w:w="9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520" w:type="dxa"/>
            <w:vAlign w:val="bottom"/>
          </w:tcPr>
          <w:p>
            <w:pPr>
              <w:ind w:left="340"/>
              <w:spacing w:after="0" w:line="311" w:lineRule="exact"/>
              <w:rPr>
                <w:sz w:val="20"/>
                <w:szCs w:val="20"/>
                <w:color w:val="auto"/>
              </w:rPr>
            </w:pPr>
            <w:r>
              <w:rPr>
                <w:rFonts w:ascii="宋体" w:cs="宋体" w:eastAsia="宋体" w:hAnsi="宋体"/>
                <w:sz w:val="28"/>
                <w:szCs w:val="28"/>
                <w:b w:val="1"/>
                <w:bCs w:val="1"/>
                <w:color w:val="auto"/>
              </w:rPr>
              <w:t>第一年</w:t>
            </w:r>
          </w:p>
        </w:tc>
        <w:tc>
          <w:tcPr>
            <w:tcW w:w="1580" w:type="dxa"/>
            <w:vAlign w:val="bottom"/>
          </w:tcPr>
          <w:p>
            <w:pPr>
              <w:jc w:val="center"/>
              <w:spacing w:after="0" w:line="311" w:lineRule="exact"/>
              <w:rPr>
                <w:sz w:val="20"/>
                <w:szCs w:val="20"/>
                <w:color w:val="auto"/>
              </w:rPr>
            </w:pPr>
            <w:r>
              <w:rPr>
                <w:rFonts w:ascii="宋体" w:cs="宋体" w:eastAsia="宋体" w:hAnsi="宋体"/>
                <w:sz w:val="28"/>
                <w:szCs w:val="28"/>
                <w:b w:val="1"/>
                <w:bCs w:val="1"/>
                <w:color w:val="auto"/>
                <w:w w:val="99"/>
              </w:rPr>
              <w:t>第二年</w:t>
            </w:r>
          </w:p>
        </w:tc>
        <w:tc>
          <w:tcPr>
            <w:tcW w:w="20" w:type="dxa"/>
            <w:vAlign w:val="bottom"/>
          </w:tcPr>
          <w:p>
            <w:pPr>
              <w:spacing w:after="0"/>
              <w:rPr>
                <w:sz w:val="24"/>
                <w:szCs w:val="24"/>
                <w:color w:val="auto"/>
              </w:rPr>
            </w:pPr>
          </w:p>
        </w:tc>
        <w:tc>
          <w:tcPr>
            <w:tcW w:w="1480" w:type="dxa"/>
            <w:vAlign w:val="bottom"/>
          </w:tcPr>
          <w:p>
            <w:pPr>
              <w:jc w:val="center"/>
              <w:spacing w:after="0" w:line="311" w:lineRule="exact"/>
              <w:rPr>
                <w:sz w:val="20"/>
                <w:szCs w:val="20"/>
                <w:color w:val="auto"/>
              </w:rPr>
            </w:pPr>
            <w:r>
              <w:rPr>
                <w:rFonts w:ascii="宋体" w:cs="宋体" w:eastAsia="宋体" w:hAnsi="宋体"/>
                <w:sz w:val="28"/>
                <w:szCs w:val="28"/>
                <w:b w:val="1"/>
                <w:bCs w:val="1"/>
                <w:color w:val="auto"/>
                <w:w w:val="99"/>
              </w:rPr>
              <w:t>两年合计</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
        </w:trPr>
        <w:tc>
          <w:tcPr>
            <w:tcW w:w="2700" w:type="dxa"/>
            <w:vAlign w:val="bottom"/>
            <w:tcBorders>
              <w:bottom w:val="single" w:sz="8" w:color="auto"/>
            </w:tcBorders>
          </w:tcPr>
          <w:p>
            <w:pPr>
              <w:spacing w:after="0"/>
              <w:rPr>
                <w:sz w:val="3"/>
                <w:szCs w:val="3"/>
                <w:color w:val="auto"/>
              </w:rPr>
            </w:pPr>
          </w:p>
        </w:tc>
        <w:tc>
          <w:tcPr>
            <w:tcW w:w="94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58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480" w:type="dxa"/>
            <w:vAlign w:val="bottom"/>
            <w:tcBorders>
              <w:bottom w:val="single" w:sz="8" w:color="auto"/>
            </w:tcBorders>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76"/>
        </w:trPr>
        <w:tc>
          <w:tcPr>
            <w:tcW w:w="2700" w:type="dxa"/>
            <w:vAlign w:val="bottom"/>
            <w:shd w:val="clear" w:color="auto" w:fill="D9D9D9"/>
          </w:tcPr>
          <w:p>
            <w:pPr>
              <w:ind w:left="100"/>
              <w:spacing w:after="0" w:line="309" w:lineRule="exact"/>
              <w:rPr>
                <w:sz w:val="20"/>
                <w:szCs w:val="20"/>
                <w:color w:val="auto"/>
              </w:rPr>
            </w:pPr>
            <w:r>
              <w:rPr>
                <w:rFonts w:ascii="宋体" w:cs="宋体" w:eastAsia="宋体" w:hAnsi="宋体"/>
                <w:sz w:val="28"/>
                <w:szCs w:val="28"/>
                <w:b w:val="1"/>
                <w:bCs w:val="1"/>
                <w:color w:val="auto"/>
              </w:rPr>
              <w:t>一、制成品</w:t>
            </w:r>
          </w:p>
        </w:tc>
        <w:tc>
          <w:tcPr>
            <w:tcW w:w="940" w:type="dxa"/>
            <w:vAlign w:val="bottom"/>
            <w:shd w:val="clear" w:color="auto" w:fill="D9D9D9"/>
          </w:tcPr>
          <w:p>
            <w:pPr>
              <w:spacing w:after="0"/>
              <w:rPr>
                <w:sz w:val="24"/>
                <w:szCs w:val="24"/>
                <w:color w:val="auto"/>
              </w:rPr>
            </w:pPr>
          </w:p>
        </w:tc>
        <w:tc>
          <w:tcPr>
            <w:tcW w:w="20" w:type="dxa"/>
            <w:vAlign w:val="bottom"/>
            <w:shd w:val="clear" w:color="auto" w:fill="D9D9D9"/>
          </w:tcPr>
          <w:p>
            <w:pPr>
              <w:spacing w:after="0"/>
              <w:rPr>
                <w:sz w:val="24"/>
                <w:szCs w:val="24"/>
                <w:color w:val="auto"/>
              </w:rPr>
            </w:pPr>
          </w:p>
        </w:tc>
        <w:tc>
          <w:tcPr>
            <w:tcW w:w="1520" w:type="dxa"/>
            <w:vAlign w:val="bottom"/>
            <w:shd w:val="clear" w:color="auto" w:fill="D9D9D9"/>
          </w:tcPr>
          <w:p>
            <w:pPr>
              <w:jc w:val="right"/>
              <w:ind w:right="380"/>
              <w:spacing w:after="0"/>
              <w:rPr>
                <w:sz w:val="20"/>
                <w:szCs w:val="20"/>
                <w:color w:val="auto"/>
              </w:rPr>
            </w:pPr>
            <w:r>
              <w:rPr>
                <w:rFonts w:ascii="Times New Roman" w:cs="Times New Roman" w:eastAsia="Times New Roman" w:hAnsi="Times New Roman"/>
                <w:sz w:val="28"/>
                <w:szCs w:val="28"/>
                <w:b w:val="1"/>
                <w:bCs w:val="1"/>
                <w:color w:val="auto"/>
              </w:rPr>
              <w:t>32.9</w:t>
            </w:r>
          </w:p>
        </w:tc>
        <w:tc>
          <w:tcPr>
            <w:tcW w:w="1580" w:type="dxa"/>
            <w:vAlign w:val="bottom"/>
            <w:shd w:val="clear" w:color="auto" w:fill="D9D9D9"/>
          </w:tcPr>
          <w:p>
            <w:pPr>
              <w:jc w:val="right"/>
              <w:ind w:right="400"/>
              <w:spacing w:after="0"/>
              <w:rPr>
                <w:sz w:val="20"/>
                <w:szCs w:val="20"/>
                <w:color w:val="auto"/>
              </w:rPr>
            </w:pPr>
            <w:r>
              <w:rPr>
                <w:rFonts w:ascii="Times New Roman" w:cs="Times New Roman" w:eastAsia="Times New Roman" w:hAnsi="Times New Roman"/>
                <w:sz w:val="28"/>
                <w:szCs w:val="28"/>
                <w:b w:val="1"/>
                <w:bCs w:val="1"/>
                <w:color w:val="auto"/>
              </w:rPr>
              <w:t>44.8</w:t>
            </w:r>
          </w:p>
        </w:tc>
        <w:tc>
          <w:tcPr>
            <w:tcW w:w="20" w:type="dxa"/>
            <w:vAlign w:val="bottom"/>
          </w:tcPr>
          <w:p>
            <w:pPr>
              <w:spacing w:after="0"/>
              <w:rPr>
                <w:sz w:val="24"/>
                <w:szCs w:val="24"/>
                <w:color w:val="auto"/>
              </w:rPr>
            </w:pPr>
          </w:p>
        </w:tc>
        <w:tc>
          <w:tcPr>
            <w:tcW w:w="1480" w:type="dxa"/>
            <w:vAlign w:val="bottom"/>
            <w:shd w:val="clear" w:color="auto" w:fill="D9D9D9"/>
          </w:tcPr>
          <w:p>
            <w:pPr>
              <w:jc w:val="right"/>
              <w:ind w:right="360"/>
              <w:spacing w:after="0"/>
              <w:rPr>
                <w:sz w:val="20"/>
                <w:szCs w:val="20"/>
                <w:color w:val="auto"/>
              </w:rPr>
            </w:pPr>
            <w:r>
              <w:rPr>
                <w:rFonts w:ascii="Times New Roman" w:cs="Times New Roman" w:eastAsia="Times New Roman" w:hAnsi="Times New Roman"/>
                <w:sz w:val="28"/>
                <w:szCs w:val="28"/>
                <w:b w:val="1"/>
                <w:bCs w:val="1"/>
                <w:color w:val="auto"/>
              </w:rPr>
              <w:t>77.7</w:t>
            </w: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0"/>
        </w:trPr>
        <w:tc>
          <w:tcPr>
            <w:tcW w:w="2700" w:type="dxa"/>
            <w:vAlign w:val="bottom"/>
            <w:shd w:val="clear" w:color="auto" w:fill="D9D9D9"/>
          </w:tcPr>
          <w:p>
            <w:pPr>
              <w:spacing w:after="0"/>
              <w:rPr>
                <w:sz w:val="4"/>
                <w:szCs w:val="4"/>
                <w:color w:val="auto"/>
              </w:rPr>
            </w:pPr>
          </w:p>
        </w:tc>
        <w:tc>
          <w:tcPr>
            <w:tcW w:w="940" w:type="dxa"/>
            <w:vAlign w:val="bottom"/>
            <w:shd w:val="clear" w:color="auto" w:fill="D9D9D9"/>
          </w:tcPr>
          <w:p>
            <w:pPr>
              <w:spacing w:after="0"/>
              <w:rPr>
                <w:sz w:val="4"/>
                <w:szCs w:val="4"/>
                <w:color w:val="auto"/>
              </w:rPr>
            </w:pPr>
          </w:p>
        </w:tc>
        <w:tc>
          <w:tcPr>
            <w:tcW w:w="20" w:type="dxa"/>
            <w:vAlign w:val="bottom"/>
            <w:shd w:val="clear" w:color="auto" w:fill="D9D9D9"/>
          </w:tcPr>
          <w:p>
            <w:pPr>
              <w:spacing w:after="0"/>
              <w:rPr>
                <w:sz w:val="4"/>
                <w:szCs w:val="4"/>
                <w:color w:val="auto"/>
              </w:rPr>
            </w:pPr>
          </w:p>
        </w:tc>
        <w:tc>
          <w:tcPr>
            <w:tcW w:w="1520" w:type="dxa"/>
            <w:vAlign w:val="bottom"/>
            <w:shd w:val="clear" w:color="auto" w:fill="D9D9D9"/>
          </w:tcPr>
          <w:p>
            <w:pPr>
              <w:spacing w:after="0"/>
              <w:rPr>
                <w:sz w:val="4"/>
                <w:szCs w:val="4"/>
                <w:color w:val="auto"/>
              </w:rPr>
            </w:pPr>
          </w:p>
        </w:tc>
        <w:tc>
          <w:tcPr>
            <w:tcW w:w="1580" w:type="dxa"/>
            <w:vAlign w:val="bottom"/>
            <w:shd w:val="clear" w:color="auto" w:fill="D9D9D9"/>
          </w:tcPr>
          <w:p>
            <w:pPr>
              <w:spacing w:after="0"/>
              <w:rPr>
                <w:sz w:val="4"/>
                <w:szCs w:val="4"/>
                <w:color w:val="auto"/>
              </w:rPr>
            </w:pPr>
          </w:p>
        </w:tc>
        <w:tc>
          <w:tcPr>
            <w:tcW w:w="20" w:type="dxa"/>
            <w:vAlign w:val="bottom"/>
          </w:tcPr>
          <w:p>
            <w:pPr>
              <w:spacing w:after="0"/>
              <w:rPr>
                <w:sz w:val="4"/>
                <w:szCs w:val="4"/>
                <w:color w:val="auto"/>
              </w:rPr>
            </w:pPr>
          </w:p>
        </w:tc>
        <w:tc>
          <w:tcPr>
            <w:tcW w:w="1480" w:type="dxa"/>
            <w:vAlign w:val="bottom"/>
            <w:shd w:val="clear" w:color="auto" w:fill="D9D9D9"/>
          </w:tcPr>
          <w:p>
            <w:pPr>
              <w:spacing w:after="0"/>
              <w:rPr>
                <w:sz w:val="4"/>
                <w:szCs w:val="4"/>
                <w:color w:val="auto"/>
              </w:rPr>
            </w:pPr>
          </w:p>
        </w:tc>
        <w:tc>
          <w:tcPr>
            <w:tcW w:w="20" w:type="dxa"/>
            <w:vAlign w:val="bottom"/>
          </w:tcPr>
          <w:p>
            <w:pPr>
              <w:spacing w:after="0"/>
              <w:rPr>
                <w:sz w:val="4"/>
                <w:szCs w:val="4"/>
                <w:color w:val="auto"/>
              </w:rPr>
            </w:pPr>
          </w:p>
        </w:tc>
        <w:tc>
          <w:tcPr>
            <w:tcW w:w="0" w:type="dxa"/>
            <w:vAlign w:val="bottom"/>
          </w:tcPr>
          <w:p>
            <w:pPr>
              <w:spacing w:after="0"/>
              <w:rPr>
                <w:sz w:val="1"/>
                <w:szCs w:val="1"/>
                <w:color w:val="auto"/>
              </w:rPr>
            </w:pPr>
          </w:p>
        </w:tc>
      </w:tr>
    </w:tbl>
    <w:p>
      <w:pPr>
        <w:ind w:left="1160" w:hanging="517"/>
        <w:spacing w:after="0" w:line="330"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工业机械</w:t>
      </w:r>
    </w:p>
    <w:p>
      <w:pPr>
        <w:spacing w:after="0" w:line="35" w:lineRule="exact"/>
        <w:rPr>
          <w:rFonts w:ascii="Times New Roman" w:cs="Times New Roman" w:eastAsia="Times New Roman" w:hAnsi="Times New Roman"/>
          <w:sz w:val="28"/>
          <w:szCs w:val="28"/>
          <w:b w:val="1"/>
          <w:bCs w:val="1"/>
          <w:color w:val="auto"/>
        </w:rPr>
      </w:pPr>
    </w:p>
    <w:p>
      <w:pPr>
        <w:ind w:left="1160" w:hanging="517"/>
        <w:spacing w:after="0" w:line="341"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电气设备和机械</w:t>
      </w:r>
    </w:p>
    <w:p>
      <w:pPr>
        <w:spacing w:after="0" w:line="31" w:lineRule="exact"/>
        <w:rPr>
          <w:rFonts w:ascii="Times New Roman" w:cs="Times New Roman" w:eastAsia="Times New Roman" w:hAnsi="Times New Roman"/>
          <w:sz w:val="28"/>
          <w:szCs w:val="28"/>
          <w:b w:val="1"/>
          <w:bCs w:val="1"/>
          <w:color w:val="auto"/>
        </w:rPr>
      </w:pPr>
    </w:p>
    <w:p>
      <w:pPr>
        <w:ind w:left="1160" w:hanging="517"/>
        <w:spacing w:after="0" w:line="341"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药品</w:t>
      </w:r>
    </w:p>
    <w:p>
      <w:pPr>
        <w:spacing w:after="0" w:line="31" w:lineRule="exact"/>
        <w:rPr>
          <w:rFonts w:ascii="Times New Roman" w:cs="Times New Roman" w:eastAsia="Times New Roman" w:hAnsi="Times New Roman"/>
          <w:sz w:val="28"/>
          <w:szCs w:val="28"/>
          <w:b w:val="1"/>
          <w:bCs w:val="1"/>
          <w:color w:val="auto"/>
        </w:rPr>
      </w:pPr>
    </w:p>
    <w:p>
      <w:pPr>
        <w:ind w:left="1160" w:hanging="517"/>
        <w:spacing w:after="0" w:line="341"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飞机（订单及交付）</w:t>
      </w:r>
    </w:p>
    <w:p>
      <w:pPr>
        <w:spacing w:after="0" w:line="33" w:lineRule="exact"/>
        <w:rPr>
          <w:rFonts w:ascii="Times New Roman" w:cs="Times New Roman" w:eastAsia="Times New Roman" w:hAnsi="Times New Roman"/>
          <w:sz w:val="28"/>
          <w:szCs w:val="28"/>
          <w:b w:val="1"/>
          <w:bCs w:val="1"/>
          <w:color w:val="auto"/>
        </w:rPr>
      </w:pPr>
    </w:p>
    <w:p>
      <w:pPr>
        <w:ind w:left="1160" w:hanging="517"/>
        <w:spacing w:after="0" w:line="341"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汽车</w:t>
      </w:r>
    </w:p>
    <w:p>
      <w:pPr>
        <w:spacing w:after="0" w:line="31" w:lineRule="exact"/>
        <w:rPr>
          <w:rFonts w:ascii="Times New Roman" w:cs="Times New Roman" w:eastAsia="Times New Roman" w:hAnsi="Times New Roman"/>
          <w:sz w:val="28"/>
          <w:szCs w:val="28"/>
          <w:b w:val="1"/>
          <w:bCs w:val="1"/>
          <w:color w:val="auto"/>
        </w:rPr>
      </w:pPr>
    </w:p>
    <w:p>
      <w:pPr>
        <w:ind w:left="1160" w:hanging="517"/>
        <w:spacing w:after="0" w:line="341"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光学设备和医疗设备</w:t>
      </w:r>
    </w:p>
    <w:p>
      <w:pPr>
        <w:spacing w:after="0" w:line="33" w:lineRule="exact"/>
        <w:rPr>
          <w:rFonts w:ascii="Times New Roman" w:cs="Times New Roman" w:eastAsia="Times New Roman" w:hAnsi="Times New Roman"/>
          <w:sz w:val="28"/>
          <w:szCs w:val="28"/>
          <w:b w:val="1"/>
          <w:bCs w:val="1"/>
          <w:color w:val="auto"/>
        </w:rPr>
      </w:pPr>
    </w:p>
    <w:p>
      <w:pPr>
        <w:ind w:left="1160" w:hanging="517"/>
        <w:spacing w:after="0" w:line="341" w:lineRule="exact"/>
        <w:tabs>
          <w:tab w:leader="none" w:pos="1160" w:val="left"/>
        </w:tabs>
        <w:numPr>
          <w:ilvl w:val="0"/>
          <w:numId w:val="15"/>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钢材</w:t>
      </w:r>
    </w:p>
    <w:p>
      <w:pPr>
        <w:spacing w:after="0" w:line="30" w:lineRule="exact"/>
        <w:rPr>
          <w:rFonts w:ascii="Times New Roman" w:cs="Times New Roman" w:eastAsia="Times New Roman" w:hAnsi="Times New Roman"/>
          <w:sz w:val="28"/>
          <w:szCs w:val="28"/>
          <w:b w:val="1"/>
          <w:bCs w:val="1"/>
          <w:color w:val="auto"/>
        </w:rPr>
      </w:pPr>
    </w:p>
    <w:p>
      <w:pPr>
        <w:ind w:left="1160" w:hanging="517"/>
        <w:spacing w:after="0" w:line="385" w:lineRule="exact"/>
        <w:tabs>
          <w:tab w:leader="none" w:pos="1160" w:val="left"/>
        </w:tabs>
        <w:numPr>
          <w:ilvl w:val="0"/>
          <w:numId w:val="15"/>
        </w:numPr>
        <w:rPr>
          <w:rFonts w:ascii="宋体" w:cs="宋体" w:eastAsia="宋体" w:hAnsi="宋体"/>
          <w:sz w:val="28"/>
          <w:szCs w:val="28"/>
          <w:b w:val="1"/>
          <w:bCs w:val="1"/>
          <w:color w:val="auto"/>
        </w:rPr>
      </w:pPr>
      <w:r>
        <w:rPr>
          <w:rFonts w:ascii="宋体" w:cs="宋体" w:eastAsia="宋体" w:hAnsi="宋体"/>
          <w:sz w:val="28"/>
          <w:szCs w:val="28"/>
          <w:b w:val="1"/>
          <w:bCs w:val="1"/>
          <w:color w:val="auto"/>
        </w:rPr>
        <w:t>其他制成品</w:t>
      </w:r>
      <w:hyperlink w:anchor="page77">
        <w:r>
          <w:rPr>
            <w:rFonts w:ascii="Times New Roman" w:cs="Times New Roman" w:eastAsia="Times New Roman" w:hAnsi="Times New Roman"/>
            <w:sz w:val="36"/>
            <w:szCs w:val="36"/>
            <w:b w:val="1"/>
            <w:bCs w:val="1"/>
            <w:color w:val="auto"/>
            <w:vertAlign w:val="superscript"/>
          </w:rPr>
          <w:t>1</w:t>
        </w:r>
      </w:hyperlink>
    </w:p>
    <w:tbl>
      <w:tblPr>
        <w:tblLayout w:type="fixed"/>
        <w:tblInd w:w="380" w:type="dxa"/>
        <w:tblCellMar>
          <w:top w:w="0" w:type="dxa"/>
          <w:left w:w="0" w:type="dxa"/>
          <w:bottom w:w="0" w:type="dxa"/>
          <w:right w:w="0" w:type="dxa"/>
        </w:tblCellMar>
      </w:tblPr>
      <w:tr>
        <w:trPr>
          <w:trHeight w:val="353"/>
        </w:trPr>
        <w:tc>
          <w:tcPr>
            <w:tcW w:w="3660" w:type="dxa"/>
            <w:vAlign w:val="bottom"/>
            <w:tcBorders>
              <w:top w:val="single" w:sz="8" w:color="auto"/>
            </w:tcBorders>
            <w:shd w:val="clear" w:color="auto" w:fill="D9D9D9"/>
          </w:tcPr>
          <w:p>
            <w:pPr>
              <w:ind w:left="100"/>
              <w:spacing w:after="0" w:line="353"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二、农产品</w:t>
            </w:r>
            <w:hyperlink w:anchor="page77">
              <w:r>
                <w:rPr>
                  <w:rFonts w:ascii="Times New Roman" w:cs="Times New Roman" w:eastAsia="Times New Roman" w:hAnsi="Times New Roman"/>
                  <w:sz w:val="36"/>
                  <w:szCs w:val="36"/>
                  <w:b w:val="1"/>
                  <w:bCs w:val="1"/>
                  <w:color w:val="auto"/>
                  <w:vertAlign w:val="superscript"/>
                </w:rPr>
                <w:t>2</w:t>
              </w:r>
            </w:hyperlink>
          </w:p>
        </w:tc>
        <w:tc>
          <w:tcPr>
            <w:tcW w:w="1520" w:type="dxa"/>
            <w:vAlign w:val="bottom"/>
            <w:tcBorders>
              <w:top w:val="single" w:sz="8" w:color="auto"/>
            </w:tcBorders>
            <w:shd w:val="clear" w:color="auto" w:fill="D9D9D9"/>
          </w:tcPr>
          <w:p>
            <w:pPr>
              <w:jc w:val="right"/>
              <w:ind w:right="380"/>
              <w:spacing w:after="0"/>
              <w:rPr>
                <w:sz w:val="20"/>
                <w:szCs w:val="20"/>
                <w:color w:val="auto"/>
              </w:rPr>
            </w:pPr>
            <w:r>
              <w:rPr>
                <w:rFonts w:ascii="Times New Roman" w:cs="Times New Roman" w:eastAsia="Times New Roman" w:hAnsi="Times New Roman"/>
                <w:sz w:val="28"/>
                <w:szCs w:val="28"/>
                <w:b w:val="1"/>
                <w:bCs w:val="1"/>
                <w:color w:val="auto"/>
              </w:rPr>
              <w:t>12.5</w:t>
            </w:r>
          </w:p>
        </w:tc>
        <w:tc>
          <w:tcPr>
            <w:tcW w:w="1580" w:type="dxa"/>
            <w:vAlign w:val="bottom"/>
            <w:tcBorders>
              <w:top w:val="single" w:sz="8" w:color="auto"/>
            </w:tcBorders>
            <w:shd w:val="clear" w:color="auto" w:fill="D9D9D9"/>
          </w:tcPr>
          <w:p>
            <w:pPr>
              <w:jc w:val="right"/>
              <w:ind w:right="400"/>
              <w:spacing w:after="0"/>
              <w:rPr>
                <w:sz w:val="20"/>
                <w:szCs w:val="20"/>
                <w:color w:val="auto"/>
              </w:rPr>
            </w:pPr>
            <w:r>
              <w:rPr>
                <w:rFonts w:ascii="Times New Roman" w:cs="Times New Roman" w:eastAsia="Times New Roman" w:hAnsi="Times New Roman"/>
                <w:sz w:val="28"/>
                <w:szCs w:val="28"/>
                <w:b w:val="1"/>
                <w:bCs w:val="1"/>
                <w:color w:val="auto"/>
              </w:rPr>
              <w:t>19.5</w:t>
            </w:r>
          </w:p>
        </w:tc>
        <w:tc>
          <w:tcPr>
            <w:tcW w:w="20" w:type="dxa"/>
            <w:vAlign w:val="bottom"/>
            <w:tcBorders>
              <w:top w:val="single" w:sz="8" w:color="auto"/>
            </w:tcBorders>
          </w:tcPr>
          <w:p>
            <w:pPr>
              <w:spacing w:after="0"/>
              <w:rPr>
                <w:sz w:val="24"/>
                <w:szCs w:val="24"/>
                <w:color w:val="auto"/>
              </w:rPr>
            </w:pPr>
          </w:p>
        </w:tc>
        <w:tc>
          <w:tcPr>
            <w:tcW w:w="1480" w:type="dxa"/>
            <w:vAlign w:val="bottom"/>
            <w:tcBorders>
              <w:top w:val="single" w:sz="8" w:color="auto"/>
            </w:tcBorders>
            <w:shd w:val="clear" w:color="auto" w:fill="D9D9D9"/>
          </w:tcPr>
          <w:p>
            <w:pPr>
              <w:jc w:val="right"/>
              <w:ind w:right="360"/>
              <w:spacing w:after="0"/>
              <w:rPr>
                <w:sz w:val="20"/>
                <w:szCs w:val="20"/>
                <w:color w:val="auto"/>
              </w:rPr>
            </w:pPr>
            <w:r>
              <w:rPr>
                <w:rFonts w:ascii="Times New Roman" w:cs="Times New Roman" w:eastAsia="Times New Roman" w:hAnsi="Times New Roman"/>
                <w:sz w:val="28"/>
                <w:szCs w:val="28"/>
                <w:b w:val="1"/>
                <w:bCs w:val="1"/>
                <w:color w:val="auto"/>
              </w:rPr>
              <w:t>32.0</w:t>
            </w:r>
          </w:p>
        </w:tc>
        <w:tc>
          <w:tcPr>
            <w:tcW w:w="20" w:type="dxa"/>
            <w:vAlign w:val="bottom"/>
            <w:tcBorders>
              <w:top w:val="single" w:sz="8" w:color="auto"/>
            </w:tcBorders>
          </w:tcPr>
          <w:p>
            <w:pPr>
              <w:spacing w:after="0"/>
              <w:rPr>
                <w:sz w:val="24"/>
                <w:szCs w:val="24"/>
                <w:color w:val="auto"/>
              </w:rPr>
            </w:pPr>
          </w:p>
        </w:tc>
      </w:tr>
    </w:tbl>
    <w:p>
      <w:pPr>
        <w:ind w:left="1160" w:hanging="517"/>
        <w:spacing w:after="0" w:line="330" w:lineRule="exact"/>
        <w:tabs>
          <w:tab w:leader="none" w:pos="1160" w:val="left"/>
        </w:tabs>
        <w:numPr>
          <w:ilvl w:val="0"/>
          <w:numId w:val="16"/>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油料种子</w:t>
      </w:r>
    </w:p>
    <w:p>
      <w:pPr>
        <w:spacing w:after="0" w:line="31" w:lineRule="exact"/>
        <w:rPr>
          <w:rFonts w:ascii="Times New Roman" w:cs="Times New Roman" w:eastAsia="Times New Roman" w:hAnsi="Times New Roman"/>
          <w:sz w:val="28"/>
          <w:szCs w:val="28"/>
          <w:b w:val="1"/>
          <w:bCs w:val="1"/>
          <w:color w:val="auto"/>
        </w:rPr>
      </w:pPr>
    </w:p>
    <w:p>
      <w:pPr>
        <w:ind w:left="580"/>
        <w:spacing w:after="0" w:line="341"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10   </w:t>
      </w:r>
      <w:r>
        <w:rPr>
          <w:rFonts w:ascii="宋体" w:cs="宋体" w:eastAsia="宋体" w:hAnsi="宋体"/>
          <w:sz w:val="28"/>
          <w:szCs w:val="28"/>
          <w:b w:val="1"/>
          <w:bCs w:val="1"/>
          <w:color w:val="auto"/>
        </w:rPr>
        <w:t>肉类</w:t>
      </w:r>
    </w:p>
    <w:p>
      <w:pPr>
        <w:spacing w:after="0" w:line="33" w:lineRule="exact"/>
        <w:rPr>
          <w:rFonts w:ascii="Times New Roman" w:cs="Times New Roman" w:eastAsia="Times New Roman" w:hAnsi="Times New Roman"/>
          <w:sz w:val="28"/>
          <w:szCs w:val="28"/>
          <w:b w:val="1"/>
          <w:bCs w:val="1"/>
          <w:color w:val="auto"/>
        </w:rPr>
      </w:pPr>
    </w:p>
    <w:p>
      <w:pPr>
        <w:ind w:left="580"/>
        <w:spacing w:after="0" w:line="341"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11   </w:t>
      </w:r>
      <w:r>
        <w:rPr>
          <w:rFonts w:ascii="宋体" w:cs="宋体" w:eastAsia="宋体" w:hAnsi="宋体"/>
          <w:sz w:val="28"/>
          <w:szCs w:val="28"/>
          <w:b w:val="1"/>
          <w:bCs w:val="1"/>
          <w:color w:val="auto"/>
        </w:rPr>
        <w:t>谷物</w:t>
      </w:r>
    </w:p>
    <w:p>
      <w:pPr>
        <w:spacing w:after="0" w:line="31" w:lineRule="exact"/>
        <w:rPr>
          <w:rFonts w:ascii="Times New Roman" w:cs="Times New Roman" w:eastAsia="Times New Roman" w:hAnsi="Times New Roman"/>
          <w:sz w:val="28"/>
          <w:szCs w:val="28"/>
          <w:b w:val="1"/>
          <w:bCs w:val="1"/>
          <w:color w:val="auto"/>
        </w:rPr>
      </w:pPr>
    </w:p>
    <w:p>
      <w:pPr>
        <w:ind w:left="580"/>
        <w:spacing w:after="0" w:line="341"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12   </w:t>
      </w:r>
      <w:r>
        <w:rPr>
          <w:rFonts w:ascii="宋体" w:cs="宋体" w:eastAsia="宋体" w:hAnsi="宋体"/>
          <w:sz w:val="28"/>
          <w:szCs w:val="28"/>
          <w:b w:val="1"/>
          <w:bCs w:val="1"/>
          <w:color w:val="auto"/>
        </w:rPr>
        <w:t>棉花</w:t>
      </w:r>
    </w:p>
    <w:p>
      <w:pPr>
        <w:spacing w:after="0" w:line="31" w:lineRule="exact"/>
        <w:rPr>
          <w:rFonts w:ascii="Times New Roman" w:cs="Times New Roman" w:eastAsia="Times New Roman" w:hAnsi="Times New Roman"/>
          <w:sz w:val="28"/>
          <w:szCs w:val="28"/>
          <w:b w:val="1"/>
          <w:bCs w:val="1"/>
          <w:color w:val="auto"/>
        </w:rPr>
      </w:pPr>
    </w:p>
    <w:p>
      <w:pPr>
        <w:ind w:left="580"/>
        <w:spacing w:after="0" w:line="385"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13   </w:t>
      </w:r>
      <w:r>
        <w:rPr>
          <w:rFonts w:ascii="宋体" w:cs="宋体" w:eastAsia="宋体" w:hAnsi="宋体"/>
          <w:sz w:val="28"/>
          <w:szCs w:val="28"/>
          <w:b w:val="1"/>
          <w:bCs w:val="1"/>
          <w:color w:val="auto"/>
        </w:rPr>
        <w:t>其他农产品</w:t>
      </w:r>
      <w:hyperlink w:anchor="page77">
        <w:r>
          <w:rPr>
            <w:rFonts w:ascii="Times New Roman" w:cs="Times New Roman" w:eastAsia="Times New Roman" w:hAnsi="Times New Roman"/>
            <w:sz w:val="36"/>
            <w:szCs w:val="36"/>
            <w:b w:val="1"/>
            <w:bCs w:val="1"/>
            <w:color w:val="auto"/>
            <w:vertAlign w:val="superscript"/>
          </w:rPr>
          <w:t>3</w:t>
        </w:r>
      </w:hyperlink>
    </w:p>
    <w:p>
      <w:pPr>
        <w:spacing w:after="0" w:line="1" w:lineRule="exact"/>
        <w:rPr>
          <w:rFonts w:ascii="Times New Roman" w:cs="Times New Roman" w:eastAsia="Times New Roman" w:hAnsi="Times New Roman"/>
          <w:sz w:val="28"/>
          <w:szCs w:val="28"/>
          <w:b w:val="1"/>
          <w:bCs w:val="1"/>
          <w:color w:val="auto"/>
        </w:rPr>
      </w:pPr>
    </w:p>
    <w:p>
      <w:pPr>
        <w:ind w:left="580"/>
        <w:spacing w:after="0" w:line="373"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t xml:space="preserve">14   </w:t>
      </w:r>
      <w:r>
        <w:rPr>
          <w:rFonts w:ascii="宋体" w:cs="宋体" w:eastAsia="宋体" w:hAnsi="宋体"/>
          <w:sz w:val="28"/>
          <w:szCs w:val="28"/>
          <w:b w:val="1"/>
          <w:bCs w:val="1"/>
          <w:color w:val="auto"/>
        </w:rPr>
        <w:t>水海产品</w:t>
      </w:r>
      <w:hyperlink w:anchor="page77">
        <w:r>
          <w:rPr>
            <w:rFonts w:ascii="Times New Roman" w:cs="Times New Roman" w:eastAsia="Times New Roman" w:hAnsi="Times New Roman"/>
            <w:sz w:val="36"/>
            <w:szCs w:val="36"/>
            <w:b w:val="1"/>
            <w:bCs w:val="1"/>
            <w:color w:val="auto"/>
            <w:vertAlign w:val="superscript"/>
          </w:rPr>
          <w:t>4</w:t>
        </w:r>
      </w:hyperlink>
    </w:p>
    <w:tbl>
      <w:tblPr>
        <w:tblLayout w:type="fixed"/>
        <w:tblInd w:w="380" w:type="dxa"/>
        <w:tblCellMar>
          <w:top w:w="0" w:type="dxa"/>
          <w:left w:w="0" w:type="dxa"/>
          <w:bottom w:w="0" w:type="dxa"/>
          <w:right w:w="0" w:type="dxa"/>
        </w:tblCellMar>
      </w:tblPr>
      <w:tr>
        <w:trPr>
          <w:trHeight w:val="354"/>
        </w:trPr>
        <w:tc>
          <w:tcPr>
            <w:tcW w:w="3660" w:type="dxa"/>
            <w:vAlign w:val="bottom"/>
            <w:tcBorders>
              <w:top w:val="single" w:sz="8" w:color="auto"/>
            </w:tcBorders>
            <w:shd w:val="clear" w:color="auto" w:fill="D9D9D9"/>
          </w:tcPr>
          <w:p>
            <w:pPr>
              <w:ind w:left="100"/>
              <w:spacing w:after="0" w:line="312" w:lineRule="exact"/>
              <w:rPr>
                <w:sz w:val="20"/>
                <w:szCs w:val="20"/>
                <w:color w:val="auto"/>
              </w:rPr>
            </w:pPr>
            <w:r>
              <w:rPr>
                <w:rFonts w:ascii="宋体" w:cs="宋体" w:eastAsia="宋体" w:hAnsi="宋体"/>
                <w:sz w:val="28"/>
                <w:szCs w:val="28"/>
                <w:b w:val="1"/>
                <w:bCs w:val="1"/>
                <w:color w:val="auto"/>
              </w:rPr>
              <w:t>三、能源产品</w:t>
            </w:r>
          </w:p>
        </w:tc>
        <w:tc>
          <w:tcPr>
            <w:tcW w:w="1520" w:type="dxa"/>
            <w:vAlign w:val="bottom"/>
            <w:tcBorders>
              <w:top w:val="single" w:sz="8" w:color="auto"/>
            </w:tcBorders>
            <w:shd w:val="clear" w:color="auto" w:fill="D9D9D9"/>
          </w:tcPr>
          <w:p>
            <w:pPr>
              <w:jc w:val="right"/>
              <w:ind w:right="380"/>
              <w:spacing w:after="0"/>
              <w:rPr>
                <w:sz w:val="20"/>
                <w:szCs w:val="20"/>
                <w:color w:val="auto"/>
              </w:rPr>
            </w:pPr>
            <w:r>
              <w:rPr>
                <w:rFonts w:ascii="Times New Roman" w:cs="Times New Roman" w:eastAsia="Times New Roman" w:hAnsi="Times New Roman"/>
                <w:sz w:val="28"/>
                <w:szCs w:val="28"/>
                <w:b w:val="1"/>
                <w:bCs w:val="1"/>
                <w:color w:val="auto"/>
              </w:rPr>
              <w:t>18.5</w:t>
            </w:r>
          </w:p>
        </w:tc>
        <w:tc>
          <w:tcPr>
            <w:tcW w:w="1580" w:type="dxa"/>
            <w:vAlign w:val="bottom"/>
            <w:tcBorders>
              <w:top w:val="single" w:sz="8" w:color="auto"/>
            </w:tcBorders>
            <w:shd w:val="clear" w:color="auto" w:fill="D9D9D9"/>
          </w:tcPr>
          <w:p>
            <w:pPr>
              <w:jc w:val="right"/>
              <w:ind w:right="400"/>
              <w:spacing w:after="0"/>
              <w:rPr>
                <w:sz w:val="20"/>
                <w:szCs w:val="20"/>
                <w:color w:val="auto"/>
              </w:rPr>
            </w:pPr>
            <w:r>
              <w:rPr>
                <w:rFonts w:ascii="Times New Roman" w:cs="Times New Roman" w:eastAsia="Times New Roman" w:hAnsi="Times New Roman"/>
                <w:sz w:val="28"/>
                <w:szCs w:val="28"/>
                <w:b w:val="1"/>
                <w:bCs w:val="1"/>
                <w:color w:val="auto"/>
              </w:rPr>
              <w:t>33.9</w:t>
            </w:r>
          </w:p>
        </w:tc>
        <w:tc>
          <w:tcPr>
            <w:tcW w:w="20" w:type="dxa"/>
            <w:vAlign w:val="bottom"/>
            <w:tcBorders>
              <w:top w:val="single" w:sz="8" w:color="auto"/>
            </w:tcBorders>
          </w:tcPr>
          <w:p>
            <w:pPr>
              <w:spacing w:after="0"/>
              <w:rPr>
                <w:sz w:val="24"/>
                <w:szCs w:val="24"/>
                <w:color w:val="auto"/>
              </w:rPr>
            </w:pPr>
          </w:p>
        </w:tc>
        <w:tc>
          <w:tcPr>
            <w:tcW w:w="1480" w:type="dxa"/>
            <w:vAlign w:val="bottom"/>
            <w:tcBorders>
              <w:top w:val="single" w:sz="8" w:color="auto"/>
            </w:tcBorders>
            <w:shd w:val="clear" w:color="auto" w:fill="D9D9D9"/>
          </w:tcPr>
          <w:p>
            <w:pPr>
              <w:jc w:val="right"/>
              <w:ind w:right="360"/>
              <w:spacing w:after="0"/>
              <w:rPr>
                <w:sz w:val="20"/>
                <w:szCs w:val="20"/>
                <w:color w:val="auto"/>
              </w:rPr>
            </w:pPr>
            <w:r>
              <w:rPr>
                <w:rFonts w:ascii="Times New Roman" w:cs="Times New Roman" w:eastAsia="Times New Roman" w:hAnsi="Times New Roman"/>
                <w:sz w:val="28"/>
                <w:szCs w:val="28"/>
                <w:b w:val="1"/>
                <w:bCs w:val="1"/>
                <w:color w:val="auto"/>
              </w:rPr>
              <w:t>52.4</w:t>
            </w:r>
          </w:p>
        </w:tc>
        <w:tc>
          <w:tcPr>
            <w:tcW w:w="20" w:type="dxa"/>
            <w:vAlign w:val="bottom"/>
            <w:tcBorders>
              <w:top w:val="single" w:sz="8" w:color="auto"/>
            </w:tcBorders>
          </w:tcPr>
          <w:p>
            <w:pPr>
              <w:spacing w:after="0"/>
              <w:rPr>
                <w:sz w:val="24"/>
                <w:szCs w:val="24"/>
                <w:color w:val="auto"/>
              </w:rPr>
            </w:pPr>
          </w:p>
        </w:tc>
      </w:tr>
    </w:tbl>
    <w:p>
      <w:pPr>
        <w:ind w:left="1160" w:hanging="586"/>
        <w:spacing w:after="0" w:line="331" w:lineRule="exact"/>
        <w:tabs>
          <w:tab w:leader="none" w:pos="1160" w:val="left"/>
        </w:tabs>
        <w:numPr>
          <w:ilvl w:val="0"/>
          <w:numId w:val="17"/>
        </w:numPr>
        <w:rPr>
          <w:rFonts w:ascii="Times New Roman" w:cs="Times New Roman" w:eastAsia="Times New Roman" w:hAnsi="Times New Roman"/>
          <w:sz w:val="28"/>
          <w:szCs w:val="28"/>
          <w:b w:val="1"/>
          <w:bCs w:val="1"/>
          <w:color w:val="auto"/>
        </w:rPr>
      </w:pPr>
      <w:r>
        <w:rPr>
          <w:rFonts w:ascii="宋体" w:cs="宋体" w:eastAsia="宋体" w:hAnsi="宋体"/>
          <w:sz w:val="28"/>
          <w:szCs w:val="28"/>
          <w:b w:val="1"/>
          <w:bCs w:val="1"/>
          <w:color w:val="auto"/>
        </w:rPr>
        <w:t>液化天然气</w:t>
      </w:r>
    </w:p>
    <w:p>
      <w:pPr>
        <w:spacing w:after="0" w:line="20" w:lineRule="exact"/>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b w:val="1"/>
          <w:bCs w:val="1"/>
          <w:color w:val="auto"/>
        </w:rPr>
        <w:drawing>
          <wp:anchor simplePos="0" relativeHeight="251657728" behindDoc="1" locked="0" layoutInCell="0" allowOverlap="1">
            <wp:simplePos x="0" y="0"/>
            <wp:positionH relativeFrom="column">
              <wp:posOffset>309880</wp:posOffset>
            </wp:positionH>
            <wp:positionV relativeFrom="paragraph">
              <wp:posOffset>243840</wp:posOffset>
            </wp:positionV>
            <wp:extent cx="1828800" cy="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828800" cy="12700"/>
                    </a:xfrm>
                    <a:prstGeom prst="rect">
                      <a:avLst/>
                    </a:prstGeom>
                    <a:noFill/>
                  </pic:spPr>
                </pic:pic>
              </a:graphicData>
            </a:graphic>
          </wp:anchor>
        </w:drawing>
      </w:r>
    </w:p>
    <w:p>
      <w:pPr>
        <w:spacing w:after="0" w:line="200" w:lineRule="exact"/>
        <w:rPr>
          <w:rFonts w:ascii="Times New Roman" w:cs="Times New Roman" w:eastAsia="Times New Roman" w:hAnsi="Times New Roman"/>
          <w:sz w:val="28"/>
          <w:szCs w:val="28"/>
          <w:b w:val="1"/>
          <w:bCs w:val="1"/>
          <w:color w:val="auto"/>
        </w:rPr>
      </w:pPr>
    </w:p>
    <w:p>
      <w:pPr>
        <w:spacing w:after="0" w:line="331" w:lineRule="exact"/>
        <w:rPr>
          <w:rFonts w:ascii="Times New Roman" w:cs="Times New Roman" w:eastAsia="Times New Roman" w:hAnsi="Times New Roman"/>
          <w:sz w:val="28"/>
          <w:szCs w:val="28"/>
          <w:b w:val="1"/>
          <w:bCs w:val="1"/>
          <w:color w:val="auto"/>
        </w:rPr>
      </w:pPr>
    </w:p>
    <w:p>
      <w:pPr>
        <w:ind w:left="480" w:right="366" w:firstLine="7"/>
        <w:spacing w:after="0" w:line="275" w:lineRule="exact"/>
        <w:tabs>
          <w:tab w:leader="none" w:pos="677" w:val="left"/>
        </w:tabs>
        <w:numPr>
          <w:ilvl w:val="0"/>
          <w:numId w:val="18"/>
        </w:numPr>
        <w:rPr>
          <w:rFonts w:ascii="Times New Roman" w:cs="Times New Roman" w:eastAsia="Times New Roman" w:hAnsi="Times New Roman"/>
          <w:sz w:val="31"/>
          <w:szCs w:val="31"/>
          <w:b w:val="1"/>
          <w:bCs w:val="1"/>
          <w:color w:val="auto"/>
          <w:vertAlign w:val="superscript"/>
        </w:rPr>
      </w:pPr>
      <w:r>
        <w:rPr>
          <w:rFonts w:ascii="宋体" w:cs="宋体" w:eastAsia="宋体" w:hAnsi="宋体"/>
          <w:sz w:val="24"/>
          <w:szCs w:val="24"/>
          <w:b w:val="1"/>
          <w:bCs w:val="1"/>
          <w:color w:val="auto"/>
        </w:rPr>
        <w:t>包括太阳能级多晶硅和其他有机与无机化学品、硬木木材、芯片（在美生产）和化学品。</w:t>
      </w:r>
    </w:p>
    <w:p>
      <w:pPr>
        <w:spacing w:after="0" w:line="75" w:lineRule="exact"/>
        <w:rPr>
          <w:rFonts w:ascii="Times New Roman" w:cs="Times New Roman" w:eastAsia="Times New Roman" w:hAnsi="Times New Roman"/>
          <w:sz w:val="31"/>
          <w:szCs w:val="31"/>
          <w:b w:val="1"/>
          <w:bCs w:val="1"/>
          <w:color w:val="auto"/>
          <w:vertAlign w:val="superscript"/>
        </w:rPr>
      </w:pPr>
    </w:p>
    <w:p>
      <w:pPr>
        <w:ind w:left="480" w:right="486" w:firstLine="7"/>
        <w:spacing w:after="0" w:line="296" w:lineRule="exact"/>
        <w:tabs>
          <w:tab w:leader="none" w:pos="677" w:val="left"/>
        </w:tabs>
        <w:numPr>
          <w:ilvl w:val="0"/>
          <w:numId w:val="18"/>
        </w:numPr>
        <w:rPr>
          <w:rFonts w:ascii="Times New Roman" w:cs="Times New Roman" w:eastAsia="Times New Roman" w:hAnsi="Times New Roman"/>
          <w:sz w:val="31"/>
          <w:szCs w:val="31"/>
          <w:b w:val="1"/>
          <w:bCs w:val="1"/>
          <w:color w:val="auto"/>
          <w:vertAlign w:val="superscript"/>
        </w:rPr>
      </w:pPr>
      <w:r>
        <w:rPr>
          <w:rFonts w:ascii="宋体" w:cs="宋体" w:eastAsia="宋体" w:hAnsi="宋体"/>
          <w:sz w:val="24"/>
          <w:szCs w:val="24"/>
          <w:b w:val="1"/>
          <w:bCs w:val="1"/>
          <w:color w:val="auto"/>
        </w:rPr>
        <w:t>应美国请求，中国除此处列出的最低额外，在本章节覆盖范围内，将每年尽量增加</w:t>
      </w:r>
      <w:r>
        <w:rPr>
          <w:rFonts w:ascii="Times New Roman" w:cs="Times New Roman" w:eastAsia="Times New Roman" w:hAnsi="Times New Roman"/>
          <w:sz w:val="24"/>
          <w:szCs w:val="24"/>
          <w:b w:val="1"/>
          <w:bCs w:val="1"/>
          <w:color w:val="auto"/>
        </w:rPr>
        <w:t>50</w:t>
      </w:r>
      <w:r>
        <w:rPr>
          <w:rFonts w:ascii="宋体" w:cs="宋体" w:eastAsia="宋体" w:hAnsi="宋体"/>
          <w:sz w:val="24"/>
          <w:szCs w:val="24"/>
          <w:b w:val="1"/>
          <w:bCs w:val="1"/>
          <w:color w:val="auto"/>
        </w:rPr>
        <w:t>亿美元的农产品进口。</w:t>
      </w:r>
    </w:p>
    <w:p>
      <w:pPr>
        <w:spacing w:after="0" w:line="32" w:lineRule="exact"/>
        <w:rPr>
          <w:rFonts w:ascii="Times New Roman" w:cs="Times New Roman" w:eastAsia="Times New Roman" w:hAnsi="Times New Roman"/>
          <w:sz w:val="31"/>
          <w:szCs w:val="31"/>
          <w:b w:val="1"/>
          <w:bCs w:val="1"/>
          <w:color w:val="auto"/>
          <w:vertAlign w:val="superscript"/>
        </w:rPr>
      </w:pPr>
    </w:p>
    <w:p>
      <w:pPr>
        <w:ind w:left="480" w:right="366" w:firstLine="7"/>
        <w:spacing w:after="0" w:line="287" w:lineRule="exact"/>
        <w:tabs>
          <w:tab w:leader="none" w:pos="677" w:val="left"/>
        </w:tabs>
        <w:numPr>
          <w:ilvl w:val="0"/>
          <w:numId w:val="18"/>
        </w:numPr>
        <w:rPr>
          <w:rFonts w:ascii="Times New Roman" w:cs="Times New Roman" w:eastAsia="Times New Roman" w:hAnsi="Times New Roman"/>
          <w:sz w:val="31"/>
          <w:szCs w:val="31"/>
          <w:b w:val="1"/>
          <w:bCs w:val="1"/>
          <w:color w:val="auto"/>
          <w:vertAlign w:val="superscript"/>
        </w:rPr>
      </w:pPr>
      <w:r>
        <w:rPr>
          <w:rFonts w:ascii="宋体" w:cs="宋体" w:eastAsia="宋体" w:hAnsi="宋体"/>
          <w:sz w:val="24"/>
          <w:szCs w:val="24"/>
          <w:b w:val="1"/>
          <w:bCs w:val="1"/>
          <w:color w:val="auto"/>
        </w:rPr>
        <w:t>包括所有其他农产品，例如苜蓿草、柑橘、乳制品、膳食补充剂、蒸馏酒精、干酒糟、香精油、乙醇、新鲜胡萝卜、水果和蔬菜、人参、宠物食品、加工食品、坚果和酒。</w:t>
      </w:r>
    </w:p>
    <w:p>
      <w:pPr>
        <w:ind w:left="680" w:hanging="193"/>
        <w:spacing w:after="0" w:line="312" w:lineRule="exact"/>
        <w:tabs>
          <w:tab w:leader="none" w:pos="680" w:val="left"/>
        </w:tabs>
        <w:numPr>
          <w:ilvl w:val="0"/>
          <w:numId w:val="18"/>
        </w:numPr>
        <w:rPr>
          <w:rFonts w:ascii="Times New Roman" w:cs="Times New Roman" w:eastAsia="Times New Roman" w:hAnsi="Times New Roman"/>
          <w:sz w:val="31"/>
          <w:szCs w:val="31"/>
          <w:b w:val="1"/>
          <w:bCs w:val="1"/>
          <w:color w:val="auto"/>
          <w:vertAlign w:val="superscript"/>
        </w:rPr>
      </w:pPr>
      <w:r>
        <w:rPr>
          <w:rFonts w:ascii="宋体" w:cs="宋体" w:eastAsia="宋体" w:hAnsi="宋体"/>
          <w:sz w:val="24"/>
          <w:szCs w:val="24"/>
          <w:b w:val="1"/>
          <w:bCs w:val="1"/>
          <w:color w:val="auto"/>
        </w:rPr>
        <w:t>包括龙虾。</w:t>
      </w:r>
    </w:p>
    <w:p>
      <w:pPr>
        <w:sectPr>
          <w:pgSz w:w="11900" w:h="16838" w:orient="portrait"/>
          <w:cols w:equalWidth="0" w:num="1">
            <w:col w:w="9026"/>
          </w:cols>
          <w:pgMar w:left="1440" w:top="1440" w:right="1440" w:bottom="465" w:gutter="0" w:footer="0" w:header="0"/>
        </w:sectPr>
      </w:pPr>
    </w:p>
    <w:p>
      <w:pPr>
        <w:spacing w:after="0" w:line="200" w:lineRule="exact"/>
        <w:rPr>
          <w:rFonts w:ascii="Times New Roman" w:cs="Times New Roman" w:eastAsia="Times New Roman" w:hAnsi="Times New Roman"/>
          <w:sz w:val="28"/>
          <w:szCs w:val="28"/>
          <w:b w:val="1"/>
          <w:bCs w:val="1"/>
          <w:color w:val="auto"/>
        </w:rPr>
      </w:pPr>
    </w:p>
    <w:p>
      <w:pPr>
        <w:spacing w:after="0" w:line="200" w:lineRule="exact"/>
        <w:rPr>
          <w:rFonts w:ascii="Times New Roman" w:cs="Times New Roman" w:eastAsia="Times New Roman" w:hAnsi="Times New Roman"/>
          <w:sz w:val="28"/>
          <w:szCs w:val="28"/>
          <w:b w:val="1"/>
          <w:bCs w:val="1"/>
          <w:color w:val="auto"/>
        </w:rPr>
      </w:pPr>
    </w:p>
    <w:p>
      <w:pPr>
        <w:spacing w:after="0" w:line="200" w:lineRule="exact"/>
        <w:rPr>
          <w:rFonts w:ascii="Times New Roman" w:cs="Times New Roman" w:eastAsia="Times New Roman" w:hAnsi="Times New Roman"/>
          <w:sz w:val="28"/>
          <w:szCs w:val="28"/>
          <w:b w:val="1"/>
          <w:bCs w:val="1"/>
          <w:color w:val="auto"/>
        </w:rPr>
      </w:pPr>
    </w:p>
    <w:p>
      <w:pPr>
        <w:spacing w:after="0" w:line="297" w:lineRule="exact"/>
        <w:rPr>
          <w:rFonts w:ascii="Times New Roman" w:cs="Times New Roman" w:eastAsia="Times New Roman" w:hAnsi="Times New Roman"/>
          <w:sz w:val="28"/>
          <w:szCs w:val="28"/>
          <w:b w:val="1"/>
          <w:bCs w:val="1"/>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6-4</w:t>
      </w:r>
    </w:p>
    <w:p>
      <w:pPr>
        <w:sectPr>
          <w:pgSz w:w="11900" w:h="16838" w:orient="portrait"/>
          <w:cols w:equalWidth="0" w:num="1">
            <w:col w:w="9026"/>
          </w:cols>
          <w:pgMar w:left="1440" w:top="1440" w:right="1440" w:bottom="465" w:gutter="0" w:footer="0" w:header="0"/>
          <w:type w:val="continuous"/>
        </w:sectPr>
      </w:pPr>
    </w:p>
    <w:bookmarkStart w:id="77" w:name="page78"/>
    <w:bookmarkEnd w:id="77"/>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tbl>
      <w:tblPr>
        <w:tblLayout w:type="fixed"/>
        <w:tblInd w:w="390" w:type="dxa"/>
        <w:tblCellMar>
          <w:top w:w="0" w:type="dxa"/>
          <w:left w:w="0" w:type="dxa"/>
          <w:bottom w:w="0" w:type="dxa"/>
          <w:right w:w="0" w:type="dxa"/>
        </w:tblCellMar>
      </w:tblPr>
      <w:tr>
        <w:trPr>
          <w:trHeight w:val="373"/>
        </w:trPr>
        <w:tc>
          <w:tcPr>
            <w:tcW w:w="680" w:type="dxa"/>
            <w:vAlign w:val="bottom"/>
            <w:tcBorders>
              <w:top w:val="single" w:sz="8" w:color="auto"/>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16</w:t>
            </w:r>
          </w:p>
        </w:tc>
        <w:tc>
          <w:tcPr>
            <w:tcW w:w="2980" w:type="dxa"/>
            <w:vAlign w:val="bottom"/>
            <w:tcBorders>
              <w:top w:val="single" w:sz="8" w:color="auto"/>
              <w:bottom w:val="single" w:sz="8" w:color="auto"/>
              <w:right w:val="single" w:sz="8" w:color="auto"/>
            </w:tcBorders>
          </w:tcPr>
          <w:p>
            <w:pPr>
              <w:ind w:left="100"/>
              <w:spacing w:after="0" w:line="320" w:lineRule="exact"/>
              <w:rPr>
                <w:sz w:val="20"/>
                <w:szCs w:val="20"/>
                <w:color w:val="auto"/>
              </w:rPr>
            </w:pPr>
            <w:r>
              <w:rPr>
                <w:rFonts w:ascii="宋体" w:cs="宋体" w:eastAsia="宋体" w:hAnsi="宋体"/>
                <w:sz w:val="28"/>
                <w:szCs w:val="28"/>
                <w:b w:val="1"/>
                <w:bCs w:val="1"/>
                <w:color w:val="auto"/>
              </w:rPr>
              <w:t>原油</w:t>
            </w:r>
          </w:p>
        </w:tc>
        <w:tc>
          <w:tcPr>
            <w:tcW w:w="1540" w:type="dxa"/>
            <w:vAlign w:val="bottom"/>
            <w:tcBorders>
              <w:top w:val="single" w:sz="8" w:color="auto"/>
              <w:bottom w:val="single" w:sz="8" w:color="auto"/>
              <w:right w:val="single" w:sz="8" w:color="auto"/>
            </w:tcBorders>
          </w:tcPr>
          <w:p>
            <w:pPr>
              <w:spacing w:after="0"/>
              <w:rPr>
                <w:sz w:val="24"/>
                <w:szCs w:val="24"/>
                <w:color w:val="auto"/>
              </w:rPr>
            </w:pPr>
          </w:p>
        </w:tc>
        <w:tc>
          <w:tcPr>
            <w:tcW w:w="1580" w:type="dxa"/>
            <w:vAlign w:val="bottom"/>
            <w:tcBorders>
              <w:top w:val="single" w:sz="8" w:color="auto"/>
              <w:bottom w:val="single" w:sz="8" w:color="auto"/>
              <w:right w:val="single" w:sz="8" w:color="auto"/>
            </w:tcBorders>
          </w:tcPr>
          <w:p>
            <w:pPr>
              <w:spacing w:after="0"/>
              <w:rPr>
                <w:sz w:val="24"/>
                <w:szCs w:val="24"/>
                <w:color w:val="auto"/>
              </w:rPr>
            </w:pPr>
          </w:p>
        </w:tc>
        <w:tc>
          <w:tcPr>
            <w:tcW w:w="1500" w:type="dxa"/>
            <w:vAlign w:val="bottom"/>
            <w:tcBorders>
              <w:top w:val="single" w:sz="8" w:color="auto"/>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17</w:t>
            </w:r>
          </w:p>
        </w:tc>
        <w:tc>
          <w:tcPr>
            <w:tcW w:w="2980" w:type="dxa"/>
            <w:vAlign w:val="bottom"/>
            <w:tcBorders>
              <w:bottom w:val="single" w:sz="8" w:color="auto"/>
              <w:right w:val="single" w:sz="8" w:color="auto"/>
            </w:tcBorders>
          </w:tcPr>
          <w:p>
            <w:pPr>
              <w:ind w:left="100"/>
              <w:spacing w:after="0" w:line="311" w:lineRule="exact"/>
              <w:rPr>
                <w:sz w:val="20"/>
                <w:szCs w:val="20"/>
                <w:color w:val="auto"/>
              </w:rPr>
            </w:pPr>
            <w:r>
              <w:rPr>
                <w:rFonts w:ascii="宋体" w:cs="宋体" w:eastAsia="宋体" w:hAnsi="宋体"/>
                <w:sz w:val="28"/>
                <w:szCs w:val="28"/>
                <w:b w:val="1"/>
                <w:bCs w:val="1"/>
                <w:color w:val="auto"/>
              </w:rPr>
              <w:t>石化产品</w:t>
            </w:r>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18</w:t>
            </w:r>
          </w:p>
        </w:tc>
        <w:tc>
          <w:tcPr>
            <w:tcW w:w="2980" w:type="dxa"/>
            <w:vAlign w:val="bottom"/>
            <w:tcBorders>
              <w:bottom w:val="single" w:sz="8" w:color="auto"/>
              <w:right w:val="single" w:sz="8" w:color="auto"/>
            </w:tcBorders>
          </w:tcPr>
          <w:p>
            <w:pPr>
              <w:ind w:left="100"/>
              <w:spacing w:after="0" w:line="353"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煤炭</w:t>
            </w:r>
            <w:hyperlink w:anchor="page78">
              <w:r>
                <w:rPr>
                  <w:rFonts w:ascii="Times New Roman" w:cs="Times New Roman" w:eastAsia="Times New Roman" w:hAnsi="Times New Roman"/>
                  <w:sz w:val="36"/>
                  <w:szCs w:val="36"/>
                  <w:b w:val="1"/>
                  <w:bCs w:val="1"/>
                  <w:color w:val="auto"/>
                  <w:vertAlign w:val="superscript"/>
                </w:rPr>
                <w:t>5</w:t>
              </w:r>
            </w:hyperlink>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3660" w:type="dxa"/>
            <w:vAlign w:val="bottom"/>
            <w:tcBorders>
              <w:left w:val="single" w:sz="8" w:color="auto"/>
              <w:bottom w:val="single" w:sz="8" w:color="auto"/>
              <w:right w:val="single" w:sz="8" w:color="auto"/>
            </w:tcBorders>
            <w:gridSpan w:val="2"/>
            <w:shd w:val="clear" w:color="auto" w:fill="D9D9D9"/>
          </w:tcPr>
          <w:p>
            <w:pPr>
              <w:ind w:left="100"/>
              <w:spacing w:after="0" w:line="353"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四、服务</w:t>
            </w:r>
            <w:hyperlink w:anchor="page78">
              <w:r>
                <w:rPr>
                  <w:rFonts w:ascii="Times New Roman" w:cs="Times New Roman" w:eastAsia="Times New Roman" w:hAnsi="Times New Roman"/>
                  <w:sz w:val="36"/>
                  <w:szCs w:val="36"/>
                  <w:b w:val="1"/>
                  <w:bCs w:val="1"/>
                  <w:color w:val="auto"/>
                  <w:vertAlign w:val="superscript"/>
                </w:rPr>
                <w:t>6</w:t>
              </w:r>
            </w:hyperlink>
          </w:p>
        </w:tc>
        <w:tc>
          <w:tcPr>
            <w:tcW w:w="1540" w:type="dxa"/>
            <w:vAlign w:val="bottom"/>
            <w:tcBorders>
              <w:bottom w:val="single" w:sz="8" w:color="auto"/>
              <w:right w:val="single" w:sz="8" w:color="auto"/>
            </w:tcBorders>
            <w:shd w:val="clear" w:color="auto" w:fill="D9D9D9"/>
          </w:tcPr>
          <w:p>
            <w:pPr>
              <w:jc w:val="right"/>
              <w:ind w:right="400"/>
              <w:spacing w:after="0"/>
              <w:rPr>
                <w:sz w:val="20"/>
                <w:szCs w:val="20"/>
                <w:color w:val="auto"/>
              </w:rPr>
            </w:pPr>
            <w:r>
              <w:rPr>
                <w:rFonts w:ascii="Times New Roman" w:cs="Times New Roman" w:eastAsia="Times New Roman" w:hAnsi="Times New Roman"/>
                <w:sz w:val="28"/>
                <w:szCs w:val="28"/>
                <w:b w:val="1"/>
                <w:bCs w:val="1"/>
                <w:color w:val="auto"/>
              </w:rPr>
              <w:t>12.8</w:t>
            </w:r>
          </w:p>
        </w:tc>
        <w:tc>
          <w:tcPr>
            <w:tcW w:w="1580" w:type="dxa"/>
            <w:vAlign w:val="bottom"/>
            <w:tcBorders>
              <w:bottom w:val="single" w:sz="8" w:color="auto"/>
              <w:right w:val="single" w:sz="8" w:color="auto"/>
            </w:tcBorders>
            <w:shd w:val="clear" w:color="auto" w:fill="D9D9D9"/>
          </w:tcPr>
          <w:p>
            <w:pPr>
              <w:jc w:val="right"/>
              <w:ind w:right="420"/>
              <w:spacing w:after="0"/>
              <w:rPr>
                <w:sz w:val="20"/>
                <w:szCs w:val="20"/>
                <w:color w:val="auto"/>
              </w:rPr>
            </w:pPr>
            <w:r>
              <w:rPr>
                <w:rFonts w:ascii="Times New Roman" w:cs="Times New Roman" w:eastAsia="Times New Roman" w:hAnsi="Times New Roman"/>
                <w:sz w:val="28"/>
                <w:szCs w:val="28"/>
                <w:b w:val="1"/>
                <w:bCs w:val="1"/>
                <w:color w:val="auto"/>
              </w:rPr>
              <w:t>25.1</w:t>
            </w:r>
          </w:p>
        </w:tc>
        <w:tc>
          <w:tcPr>
            <w:tcW w:w="1500" w:type="dxa"/>
            <w:vAlign w:val="bottom"/>
            <w:tcBorders>
              <w:bottom w:val="single" w:sz="8" w:color="auto"/>
              <w:right w:val="single" w:sz="8" w:color="auto"/>
            </w:tcBorders>
            <w:shd w:val="clear" w:color="auto" w:fill="D9D9D9"/>
          </w:tcPr>
          <w:p>
            <w:pPr>
              <w:jc w:val="right"/>
              <w:ind w:right="380"/>
              <w:spacing w:after="0"/>
              <w:rPr>
                <w:sz w:val="20"/>
                <w:szCs w:val="20"/>
                <w:color w:val="auto"/>
              </w:rPr>
            </w:pPr>
            <w:r>
              <w:rPr>
                <w:rFonts w:ascii="Times New Roman" w:cs="Times New Roman" w:eastAsia="Times New Roman" w:hAnsi="Times New Roman"/>
                <w:sz w:val="28"/>
                <w:szCs w:val="28"/>
                <w:b w:val="1"/>
                <w:bCs w:val="1"/>
                <w:color w:val="auto"/>
              </w:rPr>
              <w:t>37.9</w:t>
            </w:r>
          </w:p>
        </w:tc>
      </w:tr>
      <w:tr>
        <w:trPr>
          <w:trHeight w:val="354"/>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19</w:t>
            </w:r>
          </w:p>
        </w:tc>
        <w:tc>
          <w:tcPr>
            <w:tcW w:w="2980" w:type="dxa"/>
            <w:vAlign w:val="bottom"/>
            <w:tcBorders>
              <w:bottom w:val="single" w:sz="8" w:color="auto"/>
              <w:right w:val="single" w:sz="8" w:color="auto"/>
            </w:tcBorders>
          </w:tcPr>
          <w:p>
            <w:pPr>
              <w:ind w:left="100"/>
              <w:spacing w:after="0" w:line="309" w:lineRule="exact"/>
              <w:rPr>
                <w:sz w:val="20"/>
                <w:szCs w:val="20"/>
                <w:color w:val="auto"/>
              </w:rPr>
            </w:pPr>
            <w:r>
              <w:rPr>
                <w:rFonts w:ascii="宋体" w:cs="宋体" w:eastAsia="宋体" w:hAnsi="宋体"/>
                <w:sz w:val="28"/>
                <w:szCs w:val="28"/>
                <w:b w:val="1"/>
                <w:bCs w:val="1"/>
                <w:color w:val="auto"/>
              </w:rPr>
              <w:t>知识产权使用费</w:t>
            </w:r>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20</w:t>
            </w:r>
          </w:p>
        </w:tc>
        <w:tc>
          <w:tcPr>
            <w:tcW w:w="2980" w:type="dxa"/>
            <w:vAlign w:val="bottom"/>
            <w:tcBorders>
              <w:bottom w:val="single" w:sz="8" w:color="auto"/>
              <w:right w:val="single" w:sz="8" w:color="auto"/>
            </w:tcBorders>
          </w:tcPr>
          <w:p>
            <w:pPr>
              <w:ind w:left="100"/>
              <w:spacing w:after="0" w:line="311" w:lineRule="exact"/>
              <w:rPr>
                <w:sz w:val="20"/>
                <w:szCs w:val="20"/>
                <w:color w:val="auto"/>
              </w:rPr>
            </w:pPr>
            <w:r>
              <w:rPr>
                <w:rFonts w:ascii="宋体" w:cs="宋体" w:eastAsia="宋体" w:hAnsi="宋体"/>
                <w:sz w:val="28"/>
                <w:szCs w:val="28"/>
                <w:b w:val="1"/>
                <w:bCs w:val="1"/>
                <w:color w:val="auto"/>
              </w:rPr>
              <w:t>商务旅行和旅游</w:t>
            </w:r>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21</w:t>
            </w:r>
          </w:p>
        </w:tc>
        <w:tc>
          <w:tcPr>
            <w:tcW w:w="2980" w:type="dxa"/>
            <w:vAlign w:val="bottom"/>
            <w:tcBorders>
              <w:bottom w:val="single" w:sz="8" w:color="auto"/>
              <w:right w:val="single" w:sz="8" w:color="auto"/>
            </w:tcBorders>
          </w:tcPr>
          <w:p>
            <w:pPr>
              <w:ind w:left="100"/>
              <w:spacing w:after="0" w:line="309" w:lineRule="exact"/>
              <w:rPr>
                <w:sz w:val="20"/>
                <w:szCs w:val="20"/>
                <w:color w:val="auto"/>
              </w:rPr>
            </w:pPr>
            <w:r>
              <w:rPr>
                <w:rFonts w:ascii="宋体" w:cs="宋体" w:eastAsia="宋体" w:hAnsi="宋体"/>
                <w:sz w:val="28"/>
                <w:szCs w:val="28"/>
                <w:b w:val="1"/>
                <w:bCs w:val="1"/>
                <w:color w:val="auto"/>
              </w:rPr>
              <w:t>金融服务和保险</w:t>
            </w:r>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22</w:t>
            </w:r>
          </w:p>
        </w:tc>
        <w:tc>
          <w:tcPr>
            <w:tcW w:w="2980" w:type="dxa"/>
            <w:vAlign w:val="bottom"/>
            <w:tcBorders>
              <w:bottom w:val="single" w:sz="8" w:color="auto"/>
              <w:right w:val="single" w:sz="8" w:color="auto"/>
            </w:tcBorders>
          </w:tcPr>
          <w:p>
            <w:pPr>
              <w:ind w:left="100"/>
              <w:spacing w:after="0" w:line="309" w:lineRule="exact"/>
              <w:rPr>
                <w:sz w:val="20"/>
                <w:szCs w:val="20"/>
                <w:color w:val="auto"/>
              </w:rPr>
            </w:pPr>
            <w:r>
              <w:rPr>
                <w:rFonts w:ascii="宋体" w:cs="宋体" w:eastAsia="宋体" w:hAnsi="宋体"/>
                <w:sz w:val="28"/>
                <w:szCs w:val="28"/>
                <w:b w:val="1"/>
                <w:bCs w:val="1"/>
                <w:color w:val="auto"/>
              </w:rPr>
              <w:t>其他服务</w:t>
            </w:r>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auto"/>
            </w:tcBorders>
          </w:tcPr>
          <w:p>
            <w:pPr>
              <w:jc w:val="right"/>
              <w:ind w:right="59"/>
              <w:spacing w:after="0"/>
              <w:rPr>
                <w:sz w:val="20"/>
                <w:szCs w:val="20"/>
                <w:color w:val="auto"/>
              </w:rPr>
            </w:pPr>
            <w:r>
              <w:rPr>
                <w:rFonts w:ascii="Times New Roman" w:cs="Times New Roman" w:eastAsia="Times New Roman" w:hAnsi="Times New Roman"/>
                <w:sz w:val="28"/>
                <w:szCs w:val="28"/>
                <w:b w:val="1"/>
                <w:bCs w:val="1"/>
                <w:color w:val="auto"/>
              </w:rPr>
              <w:t>23</w:t>
            </w:r>
          </w:p>
        </w:tc>
        <w:tc>
          <w:tcPr>
            <w:tcW w:w="2980" w:type="dxa"/>
            <w:vAlign w:val="bottom"/>
            <w:tcBorders>
              <w:bottom w:val="single" w:sz="8" w:color="auto"/>
              <w:right w:val="single" w:sz="8" w:color="auto"/>
            </w:tcBorders>
          </w:tcPr>
          <w:p>
            <w:pPr>
              <w:ind w:left="100"/>
              <w:spacing w:after="0" w:line="311" w:lineRule="exact"/>
              <w:rPr>
                <w:sz w:val="20"/>
                <w:szCs w:val="20"/>
                <w:color w:val="auto"/>
              </w:rPr>
            </w:pPr>
            <w:r>
              <w:rPr>
                <w:rFonts w:ascii="宋体" w:cs="宋体" w:eastAsia="宋体" w:hAnsi="宋体"/>
                <w:sz w:val="28"/>
                <w:szCs w:val="28"/>
                <w:b w:val="1"/>
                <w:bCs w:val="1"/>
                <w:color w:val="auto"/>
              </w:rPr>
              <w:t>云和相关服务</w:t>
            </w:r>
          </w:p>
        </w:tc>
        <w:tc>
          <w:tcPr>
            <w:tcW w:w="154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53"/>
        </w:trPr>
        <w:tc>
          <w:tcPr>
            <w:tcW w:w="680" w:type="dxa"/>
            <w:vAlign w:val="bottom"/>
            <w:tcBorders>
              <w:left w:val="single" w:sz="8" w:color="auto"/>
              <w:bottom w:val="single" w:sz="8" w:color="auto"/>
              <w:right w:val="single" w:sz="8" w:color="D7D7D7"/>
            </w:tcBorders>
            <w:shd w:val="clear" w:color="auto" w:fill="D7D7D7"/>
          </w:tcPr>
          <w:p>
            <w:pPr>
              <w:spacing w:after="0"/>
              <w:rPr>
                <w:sz w:val="24"/>
                <w:szCs w:val="24"/>
                <w:color w:val="auto"/>
              </w:rPr>
            </w:pPr>
          </w:p>
        </w:tc>
        <w:tc>
          <w:tcPr>
            <w:tcW w:w="2980" w:type="dxa"/>
            <w:vAlign w:val="bottom"/>
            <w:tcBorders>
              <w:bottom w:val="single" w:sz="8" w:color="auto"/>
              <w:right w:val="single" w:sz="8" w:color="auto"/>
            </w:tcBorders>
            <w:shd w:val="clear" w:color="auto" w:fill="D7D7D7"/>
          </w:tcPr>
          <w:p>
            <w:pPr>
              <w:ind w:left="860"/>
              <w:spacing w:after="0" w:line="312" w:lineRule="exact"/>
              <w:rPr>
                <w:sz w:val="20"/>
                <w:szCs w:val="20"/>
                <w:color w:val="auto"/>
              </w:rPr>
            </w:pPr>
            <w:r>
              <w:rPr>
                <w:rFonts w:ascii="宋体" w:cs="宋体" w:eastAsia="宋体" w:hAnsi="宋体"/>
                <w:sz w:val="28"/>
                <w:szCs w:val="28"/>
                <w:b w:val="1"/>
                <w:bCs w:val="1"/>
                <w:color w:val="auto"/>
              </w:rPr>
              <w:t>总额</w:t>
            </w:r>
          </w:p>
        </w:tc>
        <w:tc>
          <w:tcPr>
            <w:tcW w:w="1540" w:type="dxa"/>
            <w:vAlign w:val="bottom"/>
            <w:tcBorders>
              <w:bottom w:val="single" w:sz="8" w:color="auto"/>
              <w:right w:val="single" w:sz="8" w:color="auto"/>
            </w:tcBorders>
            <w:shd w:val="clear" w:color="auto" w:fill="D7D7D7"/>
          </w:tcPr>
          <w:p>
            <w:pPr>
              <w:jc w:val="right"/>
              <w:ind w:right="400"/>
              <w:spacing w:after="0"/>
              <w:rPr>
                <w:sz w:val="20"/>
                <w:szCs w:val="20"/>
                <w:color w:val="auto"/>
              </w:rPr>
            </w:pPr>
            <w:r>
              <w:rPr>
                <w:rFonts w:ascii="Times New Roman" w:cs="Times New Roman" w:eastAsia="Times New Roman" w:hAnsi="Times New Roman"/>
                <w:sz w:val="28"/>
                <w:szCs w:val="28"/>
                <w:b w:val="1"/>
                <w:bCs w:val="1"/>
                <w:color w:val="auto"/>
              </w:rPr>
              <w:t>76.7</w:t>
            </w:r>
          </w:p>
        </w:tc>
        <w:tc>
          <w:tcPr>
            <w:tcW w:w="1580" w:type="dxa"/>
            <w:vAlign w:val="bottom"/>
            <w:tcBorders>
              <w:bottom w:val="single" w:sz="8" w:color="auto"/>
              <w:right w:val="single" w:sz="8" w:color="auto"/>
            </w:tcBorders>
            <w:shd w:val="clear" w:color="auto" w:fill="D7D7D7"/>
          </w:tcPr>
          <w:p>
            <w:pPr>
              <w:jc w:val="right"/>
              <w:ind w:right="340"/>
              <w:spacing w:after="0"/>
              <w:rPr>
                <w:sz w:val="20"/>
                <w:szCs w:val="20"/>
                <w:color w:val="auto"/>
              </w:rPr>
            </w:pPr>
            <w:r>
              <w:rPr>
                <w:rFonts w:ascii="Times New Roman" w:cs="Times New Roman" w:eastAsia="Times New Roman" w:hAnsi="Times New Roman"/>
                <w:sz w:val="28"/>
                <w:szCs w:val="28"/>
                <w:b w:val="1"/>
                <w:bCs w:val="1"/>
                <w:color w:val="auto"/>
              </w:rPr>
              <w:t>123.3</w:t>
            </w:r>
          </w:p>
        </w:tc>
        <w:tc>
          <w:tcPr>
            <w:tcW w:w="1500" w:type="dxa"/>
            <w:vAlign w:val="bottom"/>
            <w:tcBorders>
              <w:bottom w:val="single" w:sz="8" w:color="auto"/>
              <w:right w:val="single" w:sz="8" w:color="auto"/>
            </w:tcBorders>
            <w:shd w:val="clear" w:color="auto" w:fill="D7D7D7"/>
          </w:tcPr>
          <w:p>
            <w:pPr>
              <w:jc w:val="right"/>
              <w:ind w:right="300"/>
              <w:spacing w:after="0"/>
              <w:rPr>
                <w:sz w:val="20"/>
                <w:szCs w:val="20"/>
                <w:color w:val="auto"/>
              </w:rPr>
            </w:pPr>
            <w:r>
              <w:rPr>
                <w:rFonts w:ascii="Times New Roman" w:cs="Times New Roman" w:eastAsia="Times New Roman" w:hAnsi="Times New Roman"/>
                <w:sz w:val="28"/>
                <w:szCs w:val="28"/>
                <w:b w:val="1"/>
                <w:bCs w:val="1"/>
                <w:color w:val="auto"/>
              </w:rPr>
              <w:t>200.0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309880</wp:posOffset>
            </wp:positionH>
            <wp:positionV relativeFrom="paragraph">
              <wp:posOffset>4705350</wp:posOffset>
            </wp:positionV>
            <wp:extent cx="1828800" cy="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182880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1" w:lineRule="exact"/>
        <w:rPr>
          <w:sz w:val="20"/>
          <w:szCs w:val="20"/>
          <w:color w:val="auto"/>
        </w:rPr>
      </w:pPr>
    </w:p>
    <w:p>
      <w:pPr>
        <w:ind w:left="680" w:hanging="193"/>
        <w:spacing w:after="0" w:line="357" w:lineRule="exact"/>
        <w:tabs>
          <w:tab w:leader="none" w:pos="680" w:val="left"/>
        </w:tabs>
        <w:numPr>
          <w:ilvl w:val="0"/>
          <w:numId w:val="19"/>
        </w:numPr>
        <w:rPr>
          <w:rFonts w:ascii="Times New Roman" w:cs="Times New Roman" w:eastAsia="Times New Roman" w:hAnsi="Times New Roman"/>
          <w:sz w:val="31"/>
          <w:szCs w:val="31"/>
          <w:b w:val="1"/>
          <w:bCs w:val="1"/>
          <w:color w:val="auto"/>
          <w:vertAlign w:val="superscript"/>
        </w:rPr>
      </w:pPr>
      <w:r>
        <w:rPr>
          <w:rFonts w:ascii="宋体" w:cs="宋体" w:eastAsia="宋体" w:hAnsi="宋体"/>
          <w:sz w:val="24"/>
          <w:szCs w:val="24"/>
          <w:b w:val="1"/>
          <w:bCs w:val="1"/>
          <w:color w:val="auto"/>
        </w:rPr>
        <w:t>包括炼焦煤。</w:t>
      </w:r>
    </w:p>
    <w:p>
      <w:pPr>
        <w:spacing w:after="0" w:line="71" w:lineRule="exact"/>
        <w:rPr>
          <w:rFonts w:ascii="Times New Roman" w:cs="Times New Roman" w:eastAsia="Times New Roman" w:hAnsi="Times New Roman"/>
          <w:sz w:val="31"/>
          <w:szCs w:val="31"/>
          <w:b w:val="1"/>
          <w:bCs w:val="1"/>
          <w:color w:val="auto"/>
          <w:vertAlign w:val="superscript"/>
        </w:rPr>
      </w:pPr>
    </w:p>
    <w:p>
      <w:pPr>
        <w:ind w:left="480" w:right="386" w:firstLine="7"/>
        <w:spacing w:after="0" w:line="302" w:lineRule="exact"/>
        <w:tabs>
          <w:tab w:leader="none" w:pos="677" w:val="left"/>
        </w:tabs>
        <w:numPr>
          <w:ilvl w:val="0"/>
          <w:numId w:val="19"/>
        </w:numPr>
        <w:rPr>
          <w:rFonts w:ascii="Times New Roman" w:cs="Times New Roman" w:eastAsia="Times New Roman" w:hAnsi="Times New Roman"/>
          <w:sz w:val="31"/>
          <w:szCs w:val="31"/>
          <w:b w:val="1"/>
          <w:bCs w:val="1"/>
          <w:color w:val="auto"/>
          <w:vertAlign w:val="superscript"/>
        </w:rPr>
      </w:pPr>
      <w:r>
        <w:rPr>
          <w:rFonts w:ascii="宋体" w:cs="宋体" w:eastAsia="宋体" w:hAnsi="宋体"/>
          <w:sz w:val="24"/>
          <w:szCs w:val="24"/>
          <w:b w:val="1"/>
          <w:bCs w:val="1"/>
          <w:color w:val="auto"/>
        </w:rPr>
        <w:t>除金融服务、保险和云服务外，所有服务数据表示跨境服务供给（模式</w:t>
      </w:r>
      <w:r>
        <w:rPr>
          <w:rFonts w:ascii="Times New Roman" w:cs="Times New Roman" w:eastAsia="Times New Roman" w:hAnsi="Times New Roman"/>
          <w:sz w:val="24"/>
          <w:szCs w:val="24"/>
          <w:b w:val="1"/>
          <w:bCs w:val="1"/>
          <w:color w:val="auto"/>
        </w:rPr>
        <w:t>1</w:t>
      </w:r>
      <w:r>
        <w:rPr>
          <w:rFonts w:ascii="宋体" w:cs="宋体" w:eastAsia="宋体" w:hAnsi="宋体"/>
          <w:sz w:val="24"/>
          <w:szCs w:val="24"/>
          <w:b w:val="1"/>
          <w:bCs w:val="1"/>
          <w:color w:val="auto"/>
        </w:rPr>
        <w:t>）。金融服务、保险和云服务数据包括跨境服务供给和通过商业存在提供的服务供给（模式</w:t>
      </w:r>
      <w:r>
        <w:rPr>
          <w:rFonts w:ascii="Times New Roman" w:cs="Times New Roman" w:eastAsia="Times New Roman" w:hAnsi="Times New Roman"/>
          <w:sz w:val="24"/>
          <w:szCs w:val="24"/>
          <w:b w:val="1"/>
          <w:bCs w:val="1"/>
          <w:color w:val="auto"/>
        </w:rPr>
        <w:t>3</w:t>
      </w:r>
      <w:r>
        <w:rPr>
          <w:rFonts w:ascii="宋体" w:cs="宋体" w:eastAsia="宋体" w:hAnsi="宋体"/>
          <w:sz w:val="24"/>
          <w:szCs w:val="24"/>
          <w:b w:val="1"/>
          <w:bCs w:val="1"/>
          <w:color w:val="auto"/>
        </w:rPr>
        <w:t>）。</w:t>
      </w:r>
    </w:p>
    <w:p>
      <w:pPr>
        <w:sectPr>
          <w:pgSz w:w="11900" w:h="16838" w:orient="portrait"/>
          <w:cols w:equalWidth="0" w:num="1">
            <w:col w:w="9026"/>
          </w:cols>
          <w:pgMar w:left="1440" w:top="1440" w:right="1440" w:bottom="4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6-5</w:t>
      </w:r>
    </w:p>
    <w:p>
      <w:pPr>
        <w:sectPr>
          <w:pgSz w:w="11900" w:h="16838" w:orient="portrait"/>
          <w:cols w:equalWidth="0" w:num="1">
            <w:col w:w="9026"/>
          </w:cols>
          <w:pgMar w:left="1440" w:top="1440" w:right="1440" w:bottom="465" w:gutter="0" w:footer="0" w:header="0"/>
          <w:type w:val="continuous"/>
        </w:sectPr>
      </w:pPr>
    </w:p>
    <w:bookmarkStart w:id="78" w:name="page79"/>
    <w:bookmarkEnd w:id="78"/>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ind w:left="480" w:right="486" w:firstLine="562"/>
        <w:spacing w:after="0" w:line="412" w:lineRule="exact"/>
        <w:rPr>
          <w:sz w:val="20"/>
          <w:szCs w:val="20"/>
          <w:color w:val="auto"/>
        </w:rPr>
      </w:pPr>
      <w:r>
        <w:rPr>
          <w:rFonts w:ascii="宋体" w:cs="宋体" w:eastAsia="宋体" w:hAnsi="宋体"/>
          <w:sz w:val="28"/>
          <w:szCs w:val="28"/>
          <w:b w:val="1"/>
          <w:bCs w:val="1"/>
          <w:color w:val="auto"/>
        </w:rPr>
        <w:t>本附件只以英文作准；在双方完成并核实共同认可的中文译文后，该中文文本与英文文本应同等作准。</w:t>
      </w:r>
    </w:p>
    <w:p>
      <w:pPr>
        <w:sectPr>
          <w:pgSz w:w="11900" w:h="16838" w:orient="portrait"/>
          <w:cols w:equalWidth="0" w:num="1">
            <w:col w:w="9026"/>
          </w:cols>
          <w:pgMar w:left="1440" w:top="1440" w:right="1440" w:bottom="46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6-6</w:t>
      </w:r>
    </w:p>
    <w:p>
      <w:pPr>
        <w:sectPr>
          <w:pgSz w:w="11900" w:h="16838" w:orient="portrait"/>
          <w:cols w:equalWidth="0" w:num="1">
            <w:col w:w="9026"/>
          </w:cols>
          <w:pgMar w:left="1440" w:top="1440" w:right="1440" w:bottom="465" w:gutter="0" w:footer="0" w:header="0"/>
          <w:type w:val="continuous"/>
        </w:sectPr>
      </w:pPr>
    </w:p>
    <w:bookmarkStart w:id="79" w:name="page80"/>
    <w:bookmarkEnd w:id="7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第七章 双边评估和争端解决</w:t>
      </w:r>
    </w:p>
    <w:p>
      <w:pPr>
        <w:spacing w:after="0" w:line="200" w:lineRule="exact"/>
        <w:rPr>
          <w:sz w:val="20"/>
          <w:szCs w:val="20"/>
          <w:color w:val="auto"/>
        </w:rPr>
      </w:pPr>
    </w:p>
    <w:p>
      <w:pPr>
        <w:spacing w:after="0" w:line="257"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7.1</w:t>
      </w:r>
      <w:r>
        <w:rPr>
          <w:rFonts w:ascii="宋体" w:cs="宋体" w:eastAsia="宋体" w:hAnsi="宋体"/>
          <w:sz w:val="28"/>
          <w:szCs w:val="28"/>
          <w:b w:val="1"/>
          <w:bCs w:val="1"/>
          <w:color w:val="auto"/>
        </w:rPr>
        <w:t>条 双边评估和争端解决安排</w:t>
      </w:r>
    </w:p>
    <w:p>
      <w:pPr>
        <w:spacing w:after="0" w:line="200" w:lineRule="exact"/>
        <w:rPr>
          <w:sz w:val="20"/>
          <w:szCs w:val="20"/>
          <w:color w:val="auto"/>
        </w:rPr>
      </w:pPr>
    </w:p>
    <w:p>
      <w:pPr>
        <w:spacing w:after="0" w:line="261"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一、为确保本协议得到迅速有效履行，双方建立以下双边评估和争端解决安排（</w:t>
      </w:r>
      <w:r>
        <w:rPr>
          <w:rFonts w:ascii="Arial" w:cs="Arial" w:eastAsia="Arial" w:hAnsi="Arial"/>
          <w:sz w:val="28"/>
          <w:szCs w:val="28"/>
          <w:b w:val="1"/>
          <w:bCs w:val="1"/>
          <w:color w:val="auto"/>
        </w:rPr>
        <w:t>“</w:t>
      </w:r>
      <w:r>
        <w:rPr>
          <w:rFonts w:ascii="宋体" w:cs="宋体" w:eastAsia="宋体" w:hAnsi="宋体"/>
          <w:sz w:val="28"/>
          <w:szCs w:val="28"/>
          <w:b w:val="1"/>
          <w:bCs w:val="1"/>
          <w:color w:val="auto"/>
        </w:rPr>
        <w:t>本安排</w:t>
      </w:r>
      <w:r>
        <w:rPr>
          <w:rFonts w:ascii="Arial" w:cs="Arial" w:eastAsia="Arial" w:hAnsi="Arial"/>
          <w:sz w:val="28"/>
          <w:szCs w:val="28"/>
          <w:b w:val="1"/>
          <w:bCs w:val="1"/>
          <w:color w:val="auto"/>
        </w:rPr>
        <w:t>”</w:t>
      </w:r>
      <w:r>
        <w:rPr>
          <w:rFonts w:ascii="宋体" w:cs="宋体" w:eastAsia="宋体" w:hAnsi="宋体"/>
          <w:sz w:val="28"/>
          <w:szCs w:val="28"/>
          <w:b w:val="1"/>
          <w:bCs w:val="1"/>
          <w:color w:val="auto"/>
        </w:rPr>
        <w:t>）。</w:t>
      </w:r>
    </w:p>
    <w:p>
      <w:pPr>
        <w:spacing w:after="0" w:line="200" w:lineRule="exact"/>
        <w:rPr>
          <w:sz w:val="20"/>
          <w:szCs w:val="20"/>
          <w:color w:val="auto"/>
        </w:rPr>
      </w:pPr>
    </w:p>
    <w:p>
      <w:pPr>
        <w:spacing w:after="0" w:line="283" w:lineRule="exact"/>
        <w:rPr>
          <w:sz w:val="20"/>
          <w:szCs w:val="20"/>
          <w:color w:val="auto"/>
        </w:rPr>
      </w:pPr>
    </w:p>
    <w:p>
      <w:pPr>
        <w:jc w:val="both"/>
        <w:ind w:left="480" w:right="486" w:firstLine="562"/>
        <w:spacing w:after="0" w:line="478" w:lineRule="exact"/>
        <w:rPr>
          <w:sz w:val="20"/>
          <w:szCs w:val="20"/>
          <w:color w:val="auto"/>
        </w:rPr>
      </w:pPr>
      <w:r>
        <w:rPr>
          <w:rFonts w:ascii="宋体" w:cs="宋体" w:eastAsia="宋体" w:hAnsi="宋体"/>
          <w:sz w:val="28"/>
          <w:szCs w:val="28"/>
          <w:b w:val="1"/>
          <w:bCs w:val="1"/>
          <w:color w:val="auto"/>
        </w:rPr>
        <w:t>二、本安排的目标和任务是有效履行本协议，以公平、快速和秉持尊重的方式，解决双边经贸关系中的问题，避免经贸纠纷及其影响升级扩散至双边关系的其他领域。双方认识到就此加强双边沟通的重要性。</w:t>
      </w:r>
    </w:p>
    <w:p>
      <w:pPr>
        <w:spacing w:after="0" w:line="200" w:lineRule="exact"/>
        <w:rPr>
          <w:sz w:val="20"/>
          <w:szCs w:val="20"/>
          <w:color w:val="auto"/>
        </w:rPr>
      </w:pPr>
    </w:p>
    <w:p>
      <w:pPr>
        <w:spacing w:after="0" w:line="246"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7.2</w:t>
      </w:r>
      <w:r>
        <w:rPr>
          <w:rFonts w:ascii="宋体" w:cs="宋体" w:eastAsia="宋体" w:hAnsi="宋体"/>
          <w:sz w:val="28"/>
          <w:szCs w:val="28"/>
          <w:b w:val="1"/>
          <w:bCs w:val="1"/>
          <w:color w:val="auto"/>
        </w:rPr>
        <w:t>条 本安排架构</w:t>
      </w:r>
    </w:p>
    <w:p>
      <w:pPr>
        <w:spacing w:after="0" w:line="200" w:lineRule="exact"/>
        <w:rPr>
          <w:sz w:val="20"/>
          <w:szCs w:val="20"/>
          <w:color w:val="auto"/>
        </w:rPr>
      </w:pPr>
    </w:p>
    <w:p>
      <w:pPr>
        <w:spacing w:after="0" w:line="262" w:lineRule="exact"/>
        <w:rPr>
          <w:sz w:val="20"/>
          <w:szCs w:val="20"/>
          <w:color w:val="auto"/>
        </w:rPr>
      </w:pPr>
    </w:p>
    <w:p>
      <w:pPr>
        <w:jc w:val="both"/>
        <w:ind w:left="480" w:right="486" w:firstLine="562"/>
        <w:spacing w:after="0" w:line="457" w:lineRule="exact"/>
        <w:rPr>
          <w:sz w:val="20"/>
          <w:szCs w:val="20"/>
          <w:color w:val="auto"/>
        </w:rPr>
      </w:pPr>
      <w:r>
        <w:rPr>
          <w:rFonts w:ascii="宋体" w:cs="宋体" w:eastAsia="宋体" w:hAnsi="宋体"/>
          <w:sz w:val="28"/>
          <w:szCs w:val="28"/>
          <w:b w:val="1"/>
          <w:bCs w:val="1"/>
          <w:color w:val="auto"/>
        </w:rPr>
        <w:t>一、高层参与。双方应建立</w:t>
      </w:r>
      <w:r>
        <w:rPr>
          <w:rFonts w:ascii="Arial" w:cs="Arial" w:eastAsia="Arial" w:hAnsi="Arial"/>
          <w:sz w:val="28"/>
          <w:szCs w:val="28"/>
          <w:b w:val="1"/>
          <w:bCs w:val="1"/>
          <w:color w:val="auto"/>
        </w:rPr>
        <w:t>“</w:t>
      </w:r>
      <w:r>
        <w:rPr>
          <w:rFonts w:ascii="宋体" w:cs="宋体" w:eastAsia="宋体" w:hAnsi="宋体"/>
          <w:sz w:val="28"/>
          <w:szCs w:val="28"/>
          <w:b w:val="1"/>
          <w:bCs w:val="1"/>
          <w:color w:val="auto"/>
        </w:rPr>
        <w:t>贸易框架小组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，应由中国国务院分管副总理和美国贸易代表牵头，以讨论本协议的落实情况。</w:t>
      </w:r>
      <w:r>
        <w:rPr>
          <w:rFonts w:ascii="Arial" w:cs="Arial" w:eastAsia="Arial" w:hAnsi="Arial"/>
          <w:sz w:val="28"/>
          <w:szCs w:val="28"/>
          <w:b w:val="1"/>
          <w:bCs w:val="1"/>
          <w:color w:val="auto"/>
        </w:rPr>
        <w:t>“</w:t>
      </w:r>
      <w:r>
        <w:rPr>
          <w:rFonts w:ascii="宋体" w:cs="宋体" w:eastAsia="宋体" w:hAnsi="宋体"/>
          <w:sz w:val="28"/>
          <w:szCs w:val="28"/>
          <w:b w:val="1"/>
          <w:bCs w:val="1"/>
          <w:color w:val="auto"/>
        </w:rPr>
        <w:t>贸易框架小组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应讨论：</w:t>
      </w:r>
    </w:p>
    <w:p>
      <w:pPr>
        <w:spacing w:after="0" w:line="200" w:lineRule="exact"/>
        <w:rPr>
          <w:sz w:val="20"/>
          <w:szCs w:val="20"/>
          <w:color w:val="auto"/>
        </w:rPr>
      </w:pPr>
    </w:p>
    <w:p>
      <w:pPr>
        <w:spacing w:after="0" w:line="243"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（一）本协议整体落实情况；</w:t>
      </w:r>
    </w:p>
    <w:p>
      <w:pPr>
        <w:spacing w:after="0" w:line="200" w:lineRule="exact"/>
        <w:rPr>
          <w:sz w:val="20"/>
          <w:szCs w:val="20"/>
          <w:color w:val="auto"/>
        </w:rPr>
      </w:pPr>
    </w:p>
    <w:p>
      <w:pPr>
        <w:spacing w:after="0" w:line="241"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（二）协议履行方面的重大问题；</w:t>
      </w:r>
    </w:p>
    <w:p>
      <w:pPr>
        <w:spacing w:after="0" w:line="200" w:lineRule="exact"/>
        <w:rPr>
          <w:sz w:val="20"/>
          <w:szCs w:val="20"/>
          <w:color w:val="auto"/>
        </w:rPr>
      </w:pPr>
    </w:p>
    <w:p>
      <w:pPr>
        <w:spacing w:after="0" w:line="24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（三）双方未来工作安排。</w:t>
      </w:r>
    </w:p>
    <w:p>
      <w:pPr>
        <w:spacing w:after="0" w:line="200" w:lineRule="exact"/>
        <w:rPr>
          <w:sz w:val="20"/>
          <w:szCs w:val="20"/>
          <w:color w:val="auto"/>
        </w:rPr>
      </w:pPr>
    </w:p>
    <w:p>
      <w:pPr>
        <w:spacing w:after="0" w:line="281" w:lineRule="exact"/>
        <w:rPr>
          <w:sz w:val="20"/>
          <w:szCs w:val="20"/>
          <w:color w:val="auto"/>
        </w:rPr>
      </w:pPr>
    </w:p>
    <w:p>
      <w:pPr>
        <w:jc w:val="both"/>
        <w:ind w:left="480" w:right="486" w:firstLine="562"/>
        <w:spacing w:after="0" w:line="411" w:lineRule="exact"/>
        <w:rPr>
          <w:sz w:val="20"/>
          <w:szCs w:val="20"/>
          <w:color w:val="auto"/>
        </w:rPr>
      </w:pPr>
      <w:r>
        <w:rPr>
          <w:rFonts w:ascii="宋体" w:cs="宋体" w:eastAsia="宋体" w:hAnsi="宋体"/>
          <w:sz w:val="27"/>
          <w:szCs w:val="27"/>
          <w:b w:val="1"/>
          <w:bCs w:val="1"/>
          <w:color w:val="auto"/>
        </w:rPr>
        <w:t>双方应恢复宏观经济会议，以讨论综合性经济问题，应由中国国务院分管副总理和美国财政部长牵头。双方应尽一切努力确保</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7-1</w:t>
      </w:r>
    </w:p>
    <w:p>
      <w:pPr>
        <w:sectPr>
          <w:pgSz w:w="11900" w:h="16838" w:orient="portrait"/>
          <w:cols w:equalWidth="0" w:num="1">
            <w:col w:w="9026"/>
          </w:cols>
          <w:pgMar w:left="1440" w:top="1440" w:right="1440" w:bottom="644" w:gutter="0" w:footer="0" w:header="0"/>
        </w:sectPr>
      </w:pPr>
    </w:p>
    <w:bookmarkStart w:id="80" w:name="page81"/>
    <w:bookmarkEnd w:id="80"/>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ind w:left="480"/>
        <w:spacing w:after="0" w:line="340" w:lineRule="exact"/>
        <w:rPr>
          <w:sz w:val="20"/>
          <w:szCs w:val="20"/>
          <w:color w:val="auto"/>
        </w:rPr>
      </w:pPr>
      <w:r>
        <w:rPr>
          <w:rFonts w:ascii="Arial" w:cs="Arial" w:eastAsia="Arial" w:hAnsi="Arial"/>
          <w:sz w:val="28"/>
          <w:szCs w:val="28"/>
          <w:b w:val="1"/>
          <w:bCs w:val="1"/>
          <w:color w:val="auto"/>
        </w:rPr>
        <w:t>“</w:t>
      </w:r>
      <w:r>
        <w:rPr>
          <w:rFonts w:ascii="宋体" w:cs="宋体" w:eastAsia="宋体" w:hAnsi="宋体"/>
          <w:sz w:val="28"/>
          <w:szCs w:val="28"/>
          <w:b w:val="1"/>
          <w:bCs w:val="1"/>
          <w:color w:val="auto"/>
        </w:rPr>
        <w:t>贸易框架小组</w:t>
      </w:r>
      <w:r>
        <w:rPr>
          <w:rFonts w:ascii="Arial" w:cs="Arial" w:eastAsia="Arial" w:hAnsi="Arial"/>
          <w:sz w:val="28"/>
          <w:szCs w:val="28"/>
          <w:b w:val="1"/>
          <w:bCs w:val="1"/>
          <w:color w:val="auto"/>
        </w:rPr>
        <w:t>”</w:t>
      </w:r>
      <w:r>
        <w:rPr>
          <w:rFonts w:ascii="宋体" w:cs="宋体" w:eastAsia="宋体" w:hAnsi="宋体"/>
          <w:sz w:val="28"/>
          <w:szCs w:val="28"/>
          <w:b w:val="1"/>
          <w:bCs w:val="1"/>
          <w:color w:val="auto"/>
        </w:rPr>
        <w:t>会议和宏观经济会议都高效，以解决问题为导向。</w:t>
      </w:r>
    </w:p>
    <w:p>
      <w:pPr>
        <w:spacing w:after="0" w:line="200" w:lineRule="exact"/>
        <w:rPr>
          <w:sz w:val="20"/>
          <w:szCs w:val="20"/>
          <w:color w:val="auto"/>
        </w:rPr>
      </w:pPr>
    </w:p>
    <w:p>
      <w:pPr>
        <w:spacing w:after="0" w:line="281" w:lineRule="exact"/>
        <w:rPr>
          <w:sz w:val="20"/>
          <w:szCs w:val="20"/>
          <w:color w:val="auto"/>
        </w:rPr>
      </w:pPr>
    </w:p>
    <w:p>
      <w:pPr>
        <w:jc w:val="both"/>
        <w:ind w:left="480" w:right="486" w:firstLine="562"/>
        <w:spacing w:after="0" w:line="412" w:lineRule="exact"/>
        <w:rPr>
          <w:sz w:val="20"/>
          <w:szCs w:val="20"/>
          <w:color w:val="auto"/>
        </w:rPr>
      </w:pPr>
      <w:r>
        <w:rPr>
          <w:rFonts w:ascii="宋体" w:cs="宋体" w:eastAsia="宋体" w:hAnsi="宋体"/>
          <w:sz w:val="28"/>
          <w:szCs w:val="28"/>
          <w:b w:val="1"/>
          <w:bCs w:val="1"/>
          <w:color w:val="auto"/>
        </w:rPr>
        <w:t>二、日常工作。本安排应包括各自设立的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w:t>
      </w:r>
    </w:p>
    <w:p>
      <w:pPr>
        <w:spacing w:after="0" w:line="200" w:lineRule="exact"/>
        <w:rPr>
          <w:sz w:val="20"/>
          <w:szCs w:val="20"/>
          <w:color w:val="auto"/>
        </w:rPr>
      </w:pPr>
    </w:p>
    <w:p>
      <w:pPr>
        <w:spacing w:after="0" w:line="285" w:lineRule="exact"/>
        <w:rPr>
          <w:sz w:val="20"/>
          <w:szCs w:val="20"/>
          <w:color w:val="auto"/>
        </w:rPr>
      </w:pPr>
    </w:p>
    <w:p>
      <w:pPr>
        <w:jc w:val="both"/>
        <w:ind w:left="480" w:right="486" w:firstLine="562"/>
        <w:spacing w:after="0" w:line="478" w:lineRule="exact"/>
        <w:rPr>
          <w:sz w:val="20"/>
          <w:szCs w:val="20"/>
          <w:color w:val="auto"/>
        </w:rPr>
      </w:pPr>
      <w:r>
        <w:rPr>
          <w:rFonts w:ascii="宋体" w:cs="宋体" w:eastAsia="宋体" w:hAnsi="宋体"/>
          <w:sz w:val="28"/>
          <w:szCs w:val="28"/>
          <w:b w:val="1"/>
          <w:bCs w:val="1"/>
          <w:color w:val="auto"/>
        </w:rPr>
        <w:t>（一）中国应在国务院分管副总理领导下，设立中国的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，指定一位副部长作为牵头人。美国设立的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，应由一位副贸易代表作为牵头人；</w:t>
      </w:r>
    </w:p>
    <w:p>
      <w:pPr>
        <w:spacing w:after="0" w:line="200" w:lineRule="exact"/>
        <w:rPr>
          <w:sz w:val="20"/>
          <w:szCs w:val="20"/>
          <w:color w:val="auto"/>
        </w:rPr>
      </w:pPr>
    </w:p>
    <w:p>
      <w:pPr>
        <w:spacing w:after="0" w:line="284" w:lineRule="exact"/>
        <w:rPr>
          <w:sz w:val="20"/>
          <w:szCs w:val="20"/>
          <w:color w:val="auto"/>
        </w:rPr>
      </w:pPr>
    </w:p>
    <w:p>
      <w:pPr>
        <w:ind w:left="480" w:right="346" w:firstLine="562"/>
        <w:spacing w:after="0" w:line="457" w:lineRule="exact"/>
        <w:rPr>
          <w:sz w:val="20"/>
          <w:szCs w:val="20"/>
          <w:color w:val="auto"/>
        </w:rPr>
      </w:pPr>
      <w:r>
        <w:rPr>
          <w:rFonts w:ascii="宋体" w:cs="宋体" w:eastAsia="宋体" w:hAnsi="宋体"/>
          <w:sz w:val="28"/>
          <w:szCs w:val="28"/>
          <w:b w:val="1"/>
          <w:bCs w:val="1"/>
          <w:color w:val="auto"/>
        </w:rPr>
        <w:t>（二）每一方应指定一位官员（</w:t>
      </w:r>
      <w:r>
        <w:rPr>
          <w:rFonts w:ascii="Arial" w:cs="Arial" w:eastAsia="Arial" w:hAnsi="Arial"/>
          <w:sz w:val="28"/>
          <w:szCs w:val="28"/>
          <w:b w:val="1"/>
          <w:bCs w:val="1"/>
          <w:color w:val="auto"/>
        </w:rPr>
        <w:t>“</w:t>
      </w:r>
      <w:r>
        <w:rPr>
          <w:rFonts w:ascii="宋体" w:cs="宋体" w:eastAsia="宋体" w:hAnsi="宋体"/>
          <w:sz w:val="28"/>
          <w:szCs w:val="28"/>
          <w:b w:val="1"/>
          <w:bCs w:val="1"/>
          <w:color w:val="auto"/>
        </w:rPr>
        <w:t>指定官员</w:t>
      </w:r>
      <w:r>
        <w:rPr>
          <w:rFonts w:ascii="Arial" w:cs="Arial" w:eastAsia="Arial" w:hAnsi="Arial"/>
          <w:sz w:val="28"/>
          <w:szCs w:val="28"/>
          <w:b w:val="1"/>
          <w:bCs w:val="1"/>
          <w:color w:val="auto"/>
        </w:rPr>
        <w:t>”</w:t>
      </w:r>
      <w:r>
        <w:rPr>
          <w:rFonts w:ascii="宋体" w:cs="宋体" w:eastAsia="宋体" w:hAnsi="宋体"/>
          <w:sz w:val="28"/>
          <w:szCs w:val="28"/>
          <w:b w:val="1"/>
          <w:bCs w:val="1"/>
          <w:color w:val="auto"/>
        </w:rPr>
        <w:t>）协助本安排的工作。在本协议生效日前，每一方应提供各自指定官员的联系方式。每一方应视需要更新相关信息；</w:t>
      </w:r>
    </w:p>
    <w:p>
      <w:pPr>
        <w:spacing w:after="0" w:line="200" w:lineRule="exact"/>
        <w:rPr>
          <w:sz w:val="20"/>
          <w:szCs w:val="20"/>
          <w:color w:val="auto"/>
        </w:rPr>
      </w:pPr>
    </w:p>
    <w:p>
      <w:pPr>
        <w:spacing w:after="0" w:line="281" w:lineRule="exact"/>
        <w:rPr>
          <w:sz w:val="20"/>
          <w:szCs w:val="20"/>
          <w:color w:val="auto"/>
        </w:rPr>
      </w:pPr>
    </w:p>
    <w:p>
      <w:pPr>
        <w:ind w:left="480" w:right="206" w:firstLine="562"/>
        <w:spacing w:after="0" w:line="478" w:lineRule="exact"/>
        <w:rPr>
          <w:sz w:val="20"/>
          <w:szCs w:val="20"/>
          <w:color w:val="auto"/>
        </w:rPr>
      </w:pPr>
      <w:r>
        <w:rPr>
          <w:rFonts w:ascii="宋体" w:cs="宋体" w:eastAsia="宋体" w:hAnsi="宋体"/>
          <w:sz w:val="28"/>
          <w:szCs w:val="28"/>
          <w:b w:val="1"/>
          <w:bCs w:val="1"/>
          <w:color w:val="auto"/>
        </w:rPr>
        <w:t>（三）</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应：一是评估本协议履行相关的具体问题；二是接受任何一方提交的与协议履行相关的申诉；三是尝试通过磋商解决争端。为开展相关工作，各自的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可以向具有相关专业能力的政府部门咨询。</w:t>
      </w:r>
    </w:p>
    <w:p>
      <w:pPr>
        <w:spacing w:after="0" w:line="200" w:lineRule="exact"/>
        <w:rPr>
          <w:sz w:val="20"/>
          <w:szCs w:val="20"/>
          <w:color w:val="auto"/>
        </w:rPr>
      </w:pPr>
    </w:p>
    <w:p>
      <w:pPr>
        <w:spacing w:after="0" w:line="245"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7.3</w:t>
      </w:r>
      <w:r>
        <w:rPr>
          <w:rFonts w:ascii="宋体" w:cs="宋体" w:eastAsia="宋体" w:hAnsi="宋体"/>
          <w:sz w:val="28"/>
          <w:szCs w:val="28"/>
          <w:b w:val="1"/>
          <w:bCs w:val="1"/>
          <w:color w:val="auto"/>
        </w:rPr>
        <w:t>条 信息请求</w:t>
      </w:r>
    </w:p>
    <w:p>
      <w:pPr>
        <w:spacing w:after="0" w:line="200" w:lineRule="exact"/>
        <w:rPr>
          <w:sz w:val="20"/>
          <w:szCs w:val="20"/>
          <w:color w:val="auto"/>
        </w:rPr>
      </w:pPr>
    </w:p>
    <w:p>
      <w:pPr>
        <w:spacing w:after="0" w:line="261" w:lineRule="exact"/>
        <w:rPr>
          <w:sz w:val="20"/>
          <w:szCs w:val="20"/>
          <w:color w:val="auto"/>
        </w:rPr>
      </w:pPr>
    </w:p>
    <w:p>
      <w:pPr>
        <w:jc w:val="both"/>
        <w:ind w:left="480" w:right="486" w:firstLine="562"/>
        <w:spacing w:after="0" w:line="492" w:lineRule="exact"/>
        <w:rPr>
          <w:sz w:val="20"/>
          <w:szCs w:val="20"/>
          <w:color w:val="auto"/>
        </w:rPr>
      </w:pPr>
      <w:r>
        <w:rPr>
          <w:rFonts w:ascii="宋体" w:cs="宋体" w:eastAsia="宋体" w:hAnsi="宋体"/>
          <w:sz w:val="28"/>
          <w:szCs w:val="28"/>
          <w:b w:val="1"/>
          <w:bCs w:val="1"/>
          <w:color w:val="auto"/>
        </w:rPr>
        <w:t>一方可在会议中或会议前，请求另一方就本协议履行相关事项提供信息。另一方应提供含有所需信息的书面回复。一方如果无法提供所请求的信息，应在回复中具体解释无法在时限内提供该信息的原因，并明确将提供该信息的具体时间。本条款应不要求一方向另一方提供保密信息。</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7-2</w:t>
      </w:r>
    </w:p>
    <w:p>
      <w:pPr>
        <w:sectPr>
          <w:pgSz w:w="11900" w:h="16838" w:orient="portrait"/>
          <w:cols w:equalWidth="0" w:num="1">
            <w:col w:w="9026"/>
          </w:cols>
          <w:pgMar w:left="1440" w:top="1440" w:right="1440" w:bottom="644" w:gutter="0" w:footer="0" w:header="0"/>
        </w:sectPr>
      </w:pPr>
    </w:p>
    <w:bookmarkStart w:id="81" w:name="page82"/>
    <w:bookmarkEnd w:id="81"/>
    <w:p>
      <w:pPr>
        <w:spacing w:after="0" w:line="200" w:lineRule="exact"/>
        <w:rPr>
          <w:sz w:val="20"/>
          <w:szCs w:val="20"/>
          <w:color w:val="auto"/>
        </w:rPr>
      </w:pPr>
    </w:p>
    <w:p>
      <w:pPr>
        <w:spacing w:after="0" w:line="200" w:lineRule="exact"/>
        <w:rPr>
          <w:sz w:val="20"/>
          <w:szCs w:val="20"/>
          <w:color w:val="auto"/>
        </w:rPr>
      </w:pPr>
    </w:p>
    <w:p>
      <w:pPr>
        <w:spacing w:after="0" w:line="316"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7.4</w:t>
      </w:r>
      <w:r>
        <w:rPr>
          <w:rFonts w:ascii="宋体" w:cs="宋体" w:eastAsia="宋体" w:hAnsi="宋体"/>
          <w:sz w:val="28"/>
          <w:szCs w:val="28"/>
          <w:b w:val="1"/>
          <w:bCs w:val="1"/>
          <w:color w:val="auto"/>
        </w:rPr>
        <w:t>条 争端解决</w:t>
      </w:r>
    </w:p>
    <w:p>
      <w:pPr>
        <w:spacing w:after="0" w:line="200" w:lineRule="exact"/>
        <w:rPr>
          <w:sz w:val="20"/>
          <w:szCs w:val="20"/>
          <w:color w:val="auto"/>
        </w:rPr>
      </w:pPr>
    </w:p>
    <w:p>
      <w:pPr>
        <w:spacing w:after="0" w:line="259" w:lineRule="exact"/>
        <w:rPr>
          <w:sz w:val="20"/>
          <w:szCs w:val="20"/>
          <w:color w:val="auto"/>
        </w:rPr>
      </w:pPr>
    </w:p>
    <w:p>
      <w:pPr>
        <w:jc w:val="both"/>
        <w:ind w:left="480" w:right="486" w:firstLine="562"/>
        <w:spacing w:after="0" w:line="507" w:lineRule="exact"/>
        <w:rPr>
          <w:sz w:val="20"/>
          <w:szCs w:val="20"/>
          <w:color w:val="auto"/>
        </w:rPr>
      </w:pPr>
      <w:r>
        <w:rPr>
          <w:rFonts w:ascii="宋体" w:cs="宋体" w:eastAsia="宋体" w:hAnsi="宋体"/>
          <w:sz w:val="28"/>
          <w:szCs w:val="28"/>
          <w:b w:val="1"/>
          <w:bCs w:val="1"/>
          <w:color w:val="auto"/>
        </w:rPr>
        <w:t>一、申诉。如一方（</w:t>
      </w:r>
      <w:r>
        <w:rPr>
          <w:rFonts w:ascii="Arial" w:cs="Arial" w:eastAsia="Arial" w:hAnsi="Arial"/>
          <w:sz w:val="28"/>
          <w:szCs w:val="28"/>
          <w:b w:val="1"/>
          <w:bCs w:val="1"/>
          <w:color w:val="auto"/>
        </w:rPr>
        <w:t>“</w:t>
      </w:r>
      <w:r>
        <w:rPr>
          <w:rFonts w:ascii="宋体" w:cs="宋体" w:eastAsia="宋体" w:hAnsi="宋体"/>
          <w:sz w:val="28"/>
          <w:szCs w:val="28"/>
          <w:b w:val="1"/>
          <w:bCs w:val="1"/>
          <w:color w:val="auto"/>
        </w:rPr>
        <w:t>申诉方</w:t>
      </w:r>
      <w:r>
        <w:rPr>
          <w:rFonts w:ascii="Arial" w:cs="Arial" w:eastAsia="Arial" w:hAnsi="Arial"/>
          <w:sz w:val="28"/>
          <w:szCs w:val="28"/>
          <w:b w:val="1"/>
          <w:bCs w:val="1"/>
          <w:color w:val="auto"/>
        </w:rPr>
        <w:t>”</w:t>
      </w:r>
      <w:r>
        <w:rPr>
          <w:rFonts w:ascii="宋体" w:cs="宋体" w:eastAsia="宋体" w:hAnsi="宋体"/>
          <w:sz w:val="28"/>
          <w:szCs w:val="28"/>
          <w:b w:val="1"/>
          <w:bCs w:val="1"/>
          <w:color w:val="auto"/>
        </w:rPr>
        <w:t>）认为另一方（</w:t>
      </w:r>
      <w:r>
        <w:rPr>
          <w:rFonts w:ascii="Arial" w:cs="Arial" w:eastAsia="Arial" w:hAnsi="Arial"/>
          <w:sz w:val="28"/>
          <w:szCs w:val="28"/>
          <w:b w:val="1"/>
          <w:bCs w:val="1"/>
          <w:color w:val="auto"/>
        </w:rPr>
        <w:t>“</w:t>
      </w:r>
      <w:r>
        <w:rPr>
          <w:rFonts w:ascii="宋体" w:cs="宋体" w:eastAsia="宋体" w:hAnsi="宋体"/>
          <w:sz w:val="28"/>
          <w:szCs w:val="28"/>
          <w:b w:val="1"/>
          <w:bCs w:val="1"/>
          <w:color w:val="auto"/>
        </w:rPr>
        <w:t>被申诉方</w:t>
      </w:r>
      <w:r>
        <w:rPr>
          <w:rFonts w:ascii="Arial" w:cs="Arial" w:eastAsia="Arial" w:hAnsi="Arial"/>
          <w:sz w:val="28"/>
          <w:szCs w:val="28"/>
          <w:b w:val="1"/>
          <w:bCs w:val="1"/>
          <w:color w:val="auto"/>
        </w:rPr>
        <w:t>”</w:t>
      </w:r>
      <w:r>
        <w:rPr>
          <w:rFonts w:ascii="宋体" w:cs="宋体" w:eastAsia="宋体" w:hAnsi="宋体"/>
          <w:sz w:val="28"/>
          <w:szCs w:val="28"/>
          <w:b w:val="1"/>
          <w:bCs w:val="1"/>
          <w:color w:val="auto"/>
        </w:rPr>
        <w:t>）的行为不符合本协议，申诉方可向被申诉方的</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提出申诉（</w:t>
      </w:r>
      <w:r>
        <w:rPr>
          <w:rFonts w:ascii="Arial" w:cs="Arial" w:eastAsia="Arial" w:hAnsi="Arial"/>
          <w:sz w:val="28"/>
          <w:szCs w:val="28"/>
          <w:b w:val="1"/>
          <w:bCs w:val="1"/>
          <w:color w:val="auto"/>
        </w:rPr>
        <w:t>“</w:t>
      </w:r>
      <w:r>
        <w:rPr>
          <w:rFonts w:ascii="宋体" w:cs="宋体" w:eastAsia="宋体" w:hAnsi="宋体"/>
          <w:sz w:val="28"/>
          <w:szCs w:val="28"/>
          <w:b w:val="1"/>
          <w:bCs w:val="1"/>
          <w:color w:val="auto"/>
        </w:rPr>
        <w:t>申诉</w:t>
      </w:r>
      <w:r>
        <w:rPr>
          <w:rFonts w:ascii="Arial" w:cs="Arial" w:eastAsia="Arial" w:hAnsi="Arial"/>
          <w:sz w:val="28"/>
          <w:szCs w:val="28"/>
          <w:b w:val="1"/>
          <w:bCs w:val="1"/>
          <w:color w:val="auto"/>
        </w:rPr>
        <w:t>”</w:t>
      </w:r>
      <w:r>
        <w:rPr>
          <w:rFonts w:ascii="宋体" w:cs="宋体" w:eastAsia="宋体" w:hAnsi="宋体"/>
          <w:sz w:val="28"/>
          <w:szCs w:val="28"/>
          <w:b w:val="1"/>
          <w:bCs w:val="1"/>
          <w:color w:val="auto"/>
        </w:rPr>
        <w:t>）。申诉应以书面形式提出，并应包含足够信息以使被申诉方能够对事项进行适当评估。申诉可以但不必要包含，能够识别涉事公司的信息或商业保密信息。申诉及任何相关信息或事项均属保密，未经双方同意，不得与</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之外的其他人分享。</w:t>
      </w:r>
    </w:p>
    <w:p>
      <w:pPr>
        <w:spacing w:after="0" w:line="200" w:lineRule="exact"/>
        <w:rPr>
          <w:sz w:val="20"/>
          <w:szCs w:val="20"/>
          <w:color w:val="auto"/>
        </w:rPr>
      </w:pPr>
    </w:p>
    <w:p>
      <w:pPr>
        <w:spacing w:after="0" w:line="24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二、申诉范围。</w:t>
      </w:r>
    </w:p>
    <w:p>
      <w:pPr>
        <w:spacing w:after="0" w:line="200" w:lineRule="exact"/>
        <w:rPr>
          <w:sz w:val="20"/>
          <w:szCs w:val="20"/>
          <w:color w:val="auto"/>
        </w:rPr>
      </w:pPr>
    </w:p>
    <w:p>
      <w:pPr>
        <w:spacing w:after="0" w:line="255"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（一）本协议生效后出现的所有问题，均可提交争端解决程序；</w:t>
      </w:r>
    </w:p>
    <w:p>
      <w:pPr>
        <w:spacing w:after="0" w:line="200" w:lineRule="exact"/>
        <w:rPr>
          <w:sz w:val="20"/>
          <w:szCs w:val="20"/>
          <w:color w:val="auto"/>
        </w:rPr>
      </w:pPr>
    </w:p>
    <w:p>
      <w:pPr>
        <w:spacing w:after="0" w:line="281" w:lineRule="exact"/>
        <w:rPr>
          <w:sz w:val="20"/>
          <w:szCs w:val="20"/>
          <w:color w:val="auto"/>
        </w:rPr>
      </w:pPr>
    </w:p>
    <w:p>
      <w:pPr>
        <w:jc w:val="both"/>
        <w:ind w:left="480" w:right="486" w:firstLine="562"/>
        <w:spacing w:after="0" w:line="478" w:lineRule="exact"/>
        <w:rPr>
          <w:sz w:val="20"/>
          <w:szCs w:val="20"/>
          <w:color w:val="auto"/>
        </w:rPr>
      </w:pPr>
      <w:r>
        <w:rPr>
          <w:rFonts w:ascii="宋体" w:cs="宋体" w:eastAsia="宋体" w:hAnsi="宋体"/>
          <w:sz w:val="28"/>
          <w:szCs w:val="28"/>
          <w:b w:val="1"/>
          <w:bCs w:val="1"/>
          <w:color w:val="auto"/>
        </w:rPr>
        <w:t>（二）一方在本协议生效前采取的措施，包括一项行动，如在本协议生效后得到保留或持续存在影响，也适用争端解决程序。如果申诉涉及此类措施，申诉方应向被申诉方提交相关措施持续存在影响的说明。</w:t>
      </w:r>
    </w:p>
    <w:p>
      <w:pPr>
        <w:spacing w:after="0" w:line="200" w:lineRule="exact"/>
        <w:rPr>
          <w:sz w:val="20"/>
          <w:szCs w:val="20"/>
          <w:color w:val="auto"/>
        </w:rPr>
      </w:pPr>
    </w:p>
    <w:p>
      <w:pPr>
        <w:spacing w:after="0" w:line="285" w:lineRule="exact"/>
        <w:rPr>
          <w:sz w:val="20"/>
          <w:szCs w:val="20"/>
          <w:color w:val="auto"/>
        </w:rPr>
      </w:pPr>
    </w:p>
    <w:p>
      <w:pPr>
        <w:jc w:val="both"/>
        <w:ind w:left="480" w:right="486" w:firstLine="562"/>
        <w:spacing w:after="0" w:line="457" w:lineRule="exact"/>
        <w:rPr>
          <w:sz w:val="20"/>
          <w:szCs w:val="20"/>
          <w:color w:val="auto"/>
        </w:rPr>
      </w:pPr>
      <w:r>
        <w:rPr>
          <w:rFonts w:ascii="宋体" w:cs="宋体" w:eastAsia="宋体" w:hAnsi="宋体"/>
          <w:sz w:val="28"/>
          <w:szCs w:val="28"/>
          <w:b w:val="1"/>
          <w:bCs w:val="1"/>
          <w:color w:val="auto"/>
        </w:rPr>
        <w:t>三、评估。被申诉方应启动并完成对申诉的评估。被申诉方应考虑申诉所涉问题的事实、性质和严重程度。评估完成后，指定官员应启动磋商。</w:t>
      </w:r>
    </w:p>
    <w:p>
      <w:pPr>
        <w:spacing w:after="0" w:line="200" w:lineRule="exact"/>
        <w:rPr>
          <w:sz w:val="20"/>
          <w:szCs w:val="20"/>
          <w:color w:val="auto"/>
        </w:rPr>
      </w:pPr>
    </w:p>
    <w:p>
      <w:pPr>
        <w:spacing w:after="0" w:line="283" w:lineRule="exact"/>
        <w:rPr>
          <w:sz w:val="20"/>
          <w:szCs w:val="20"/>
          <w:color w:val="auto"/>
        </w:rPr>
      </w:pPr>
    </w:p>
    <w:p>
      <w:pPr>
        <w:jc w:val="both"/>
        <w:ind w:left="480" w:right="486" w:firstLine="562"/>
        <w:spacing w:after="0" w:line="413" w:lineRule="exact"/>
        <w:rPr>
          <w:sz w:val="20"/>
          <w:szCs w:val="20"/>
          <w:color w:val="auto"/>
        </w:rPr>
      </w:pPr>
      <w:r>
        <w:rPr>
          <w:rFonts w:ascii="宋体" w:cs="宋体" w:eastAsia="宋体" w:hAnsi="宋体"/>
          <w:sz w:val="28"/>
          <w:szCs w:val="28"/>
          <w:b w:val="1"/>
          <w:bCs w:val="1"/>
          <w:color w:val="auto"/>
        </w:rPr>
        <w:t>四、争端解决程序。双方将按照以下程序，以最高效的方式尝试解决申诉：</w:t>
      </w:r>
    </w:p>
    <w:p>
      <w:pPr>
        <w:spacing w:after="0" w:line="200" w:lineRule="exact"/>
        <w:rPr>
          <w:sz w:val="20"/>
          <w:szCs w:val="20"/>
          <w:color w:val="auto"/>
        </w:rPr>
      </w:pPr>
    </w:p>
    <w:p>
      <w:pPr>
        <w:spacing w:after="0" w:line="23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（一）如果指定官员未能解决申诉，可将该项关注提交至中国</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7-3</w:t>
      </w:r>
    </w:p>
    <w:p>
      <w:pPr>
        <w:sectPr>
          <w:pgSz w:w="11900" w:h="16838" w:orient="portrait"/>
          <w:cols w:equalWidth="0" w:num="1">
            <w:col w:w="9026"/>
          </w:cols>
          <w:pgMar w:left="1440" w:top="1440" w:right="1440" w:bottom="644" w:gutter="0" w:footer="0" w:header="0"/>
        </w:sectPr>
      </w:pPr>
    </w:p>
    <w:bookmarkStart w:id="82" w:name="page83"/>
    <w:bookmarkEnd w:id="82"/>
    <w:p>
      <w:pPr>
        <w:spacing w:after="0" w:line="200" w:lineRule="exact"/>
        <w:rPr>
          <w:sz w:val="20"/>
          <w:szCs w:val="20"/>
          <w:color w:val="auto"/>
        </w:rPr>
      </w:pPr>
    </w:p>
    <w:p>
      <w:pPr>
        <w:spacing w:after="0" w:line="200" w:lineRule="exact"/>
        <w:rPr>
          <w:sz w:val="20"/>
          <w:szCs w:val="20"/>
          <w:color w:val="auto"/>
        </w:rPr>
      </w:pPr>
    </w:p>
    <w:p>
      <w:pPr>
        <w:spacing w:after="0" w:line="354" w:lineRule="exact"/>
        <w:rPr>
          <w:sz w:val="20"/>
          <w:szCs w:val="20"/>
          <w:color w:val="auto"/>
        </w:rPr>
      </w:pPr>
    </w:p>
    <w:p>
      <w:pPr>
        <w:jc w:val="both"/>
        <w:ind w:left="480" w:right="486"/>
        <w:spacing w:after="0" w:line="457" w:lineRule="exact"/>
        <w:rPr>
          <w:sz w:val="20"/>
          <w:szCs w:val="20"/>
          <w:color w:val="auto"/>
        </w:rPr>
      </w:pPr>
      <w:r>
        <w:rPr>
          <w:rFonts w:ascii="宋体" w:cs="宋体" w:eastAsia="宋体" w:hAnsi="宋体"/>
          <w:sz w:val="28"/>
          <w:szCs w:val="28"/>
          <w:b w:val="1"/>
          <w:bCs w:val="1"/>
          <w:color w:val="auto"/>
        </w:rPr>
        <w:t>指定的副部长和美国指定的副贸易代表处理。如果申诉在副部级层面未被解决，申诉方可将该问题提交至中国国务院分管副总理和美国贸易代表；</w:t>
      </w:r>
    </w:p>
    <w:p>
      <w:pPr>
        <w:spacing w:after="0" w:line="200" w:lineRule="exact"/>
        <w:rPr>
          <w:sz w:val="20"/>
          <w:szCs w:val="20"/>
          <w:color w:val="auto"/>
        </w:rPr>
      </w:pPr>
    </w:p>
    <w:p>
      <w:pPr>
        <w:spacing w:after="0" w:line="281" w:lineRule="exact"/>
        <w:rPr>
          <w:sz w:val="20"/>
          <w:szCs w:val="20"/>
          <w:color w:val="auto"/>
        </w:rPr>
      </w:pPr>
    </w:p>
    <w:p>
      <w:pPr>
        <w:jc w:val="both"/>
        <w:ind w:left="480" w:right="486" w:firstLine="552"/>
        <w:spacing w:after="0" w:line="520" w:lineRule="exact"/>
        <w:rPr>
          <w:sz w:val="20"/>
          <w:szCs w:val="20"/>
          <w:color w:val="auto"/>
        </w:rPr>
      </w:pPr>
      <w:r>
        <w:rPr>
          <w:rFonts w:ascii="宋体" w:cs="宋体" w:eastAsia="宋体" w:hAnsi="宋体"/>
          <w:sz w:val="27"/>
          <w:szCs w:val="27"/>
          <w:b w:val="1"/>
          <w:bCs w:val="1"/>
          <w:color w:val="auto"/>
        </w:rPr>
        <w:t>（二）如果中国国务院分管副总理和美国贸易代表举行的会议未解决申诉方关注，双方应就申诉方所受损害或损失的回应快速进行磋商。如果双方就上述回应达成共识，该回应应得到履行。如果双方未就上述回应达成共识，申诉方出于防止局势升级、维护正常双边贸易关系的目的，基于磋商中提供的事实，可能求助于采取行动，包括停止其在本协议下的某一义务，或采取其认为适当的、以相称的方式实施的补救措施。在申诉方行动生效日之前，被申诉方可启动中国国务院分管副总理和美国贸易代表之间的紧急会议。如被申诉方认为申诉方依照本项采取的行动基于善意，被申诉方不会采取反制措施，或否则挑战相关行动。如被申诉方认为申诉方的行动基于恶意，其救济手段是向申诉方提交书面通知退出本协议。</w:t>
      </w:r>
    </w:p>
    <w:p>
      <w:pPr>
        <w:spacing w:after="0" w:line="200" w:lineRule="exact"/>
        <w:rPr>
          <w:sz w:val="20"/>
          <w:szCs w:val="20"/>
          <w:color w:val="auto"/>
        </w:rPr>
      </w:pPr>
    </w:p>
    <w:p>
      <w:pPr>
        <w:spacing w:after="0" w:line="293" w:lineRule="exact"/>
        <w:rPr>
          <w:sz w:val="20"/>
          <w:szCs w:val="20"/>
          <w:color w:val="auto"/>
        </w:rPr>
      </w:pPr>
    </w:p>
    <w:p>
      <w:pPr>
        <w:jc w:val="both"/>
        <w:ind w:left="480" w:right="486" w:firstLine="552"/>
        <w:spacing w:after="0" w:line="492" w:lineRule="exact"/>
        <w:rPr>
          <w:sz w:val="20"/>
          <w:szCs w:val="20"/>
          <w:color w:val="auto"/>
        </w:rPr>
      </w:pPr>
      <w:r>
        <w:rPr>
          <w:rFonts w:ascii="宋体" w:cs="宋体" w:eastAsia="宋体" w:hAnsi="宋体"/>
          <w:sz w:val="28"/>
          <w:szCs w:val="28"/>
          <w:b w:val="1"/>
          <w:bCs w:val="1"/>
          <w:color w:val="auto"/>
        </w:rPr>
        <w:t>五、尽管有本条第四款第（一）项的规定，如中国国务院分管副总理或美国贸易代表认为某一履行问题是紧急事项，他们其中一位可在双方的会议上直接提出该事项，而无需先在较低级别的会议上进行讨论。如果无法为此及时召开上述会议，申诉方可依照本条第四款第（二）项求助于采取行动。</w:t>
      </w:r>
    </w:p>
    <w:p>
      <w:pPr>
        <w:spacing w:after="0" w:line="200" w:lineRule="exact"/>
        <w:rPr>
          <w:sz w:val="20"/>
          <w:szCs w:val="20"/>
          <w:color w:val="auto"/>
        </w:rPr>
      </w:pPr>
    </w:p>
    <w:p>
      <w:pPr>
        <w:spacing w:after="0" w:line="247" w:lineRule="exact"/>
        <w:rPr>
          <w:sz w:val="20"/>
          <w:szCs w:val="20"/>
          <w:color w:val="auto"/>
        </w:rPr>
      </w:pPr>
    </w:p>
    <w:p>
      <w:pPr>
        <w:ind w:left="3700" w:hanging="346"/>
        <w:spacing w:after="0" w:line="341" w:lineRule="exact"/>
        <w:tabs>
          <w:tab w:leader="none" w:pos="3700" w:val="left"/>
        </w:tabs>
        <w:numPr>
          <w:ilvl w:val="0"/>
          <w:numId w:val="20"/>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7.5 </w:t>
      </w:r>
      <w:r>
        <w:rPr>
          <w:rFonts w:ascii="宋体" w:cs="宋体" w:eastAsia="宋体" w:hAnsi="宋体"/>
          <w:sz w:val="28"/>
          <w:szCs w:val="28"/>
          <w:b w:val="1"/>
          <w:bCs w:val="1"/>
          <w:color w:val="auto"/>
        </w:rPr>
        <w:t>条 履行期限</w:t>
      </w:r>
    </w:p>
    <w:p>
      <w:pPr>
        <w:spacing w:after="0" w:line="200" w:lineRule="exact"/>
        <w:rPr>
          <w:rFonts w:ascii="宋体" w:cs="宋体" w:eastAsia="宋体" w:hAnsi="宋体"/>
          <w:sz w:val="28"/>
          <w:szCs w:val="28"/>
          <w:b w:val="1"/>
          <w:bCs w:val="1"/>
          <w:color w:val="auto"/>
        </w:rPr>
      </w:pPr>
    </w:p>
    <w:p>
      <w:pPr>
        <w:spacing w:after="0" w:line="230" w:lineRule="exact"/>
        <w:rPr>
          <w:rFonts w:ascii="宋体" w:cs="宋体" w:eastAsia="宋体" w:hAnsi="宋体"/>
          <w:sz w:val="28"/>
          <w:szCs w:val="28"/>
          <w:b w:val="1"/>
          <w:bCs w:val="1"/>
          <w:color w:val="auto"/>
        </w:rPr>
      </w:pPr>
    </w:p>
    <w:p>
      <w:pPr>
        <w:ind w:left="1040"/>
        <w:spacing w:after="0" w:line="308" w:lineRule="exact"/>
        <w:rPr>
          <w:rFonts w:ascii="宋体" w:cs="宋体" w:eastAsia="宋体" w:hAnsi="宋体"/>
          <w:sz w:val="28"/>
          <w:szCs w:val="28"/>
          <w:b w:val="1"/>
          <w:bCs w:val="1"/>
          <w:color w:val="auto"/>
        </w:rPr>
      </w:pPr>
      <w:r>
        <w:rPr>
          <w:rFonts w:ascii="宋体" w:cs="宋体" w:eastAsia="宋体" w:hAnsi="宋体"/>
          <w:sz w:val="27"/>
          <w:szCs w:val="27"/>
          <w:b w:val="1"/>
          <w:bCs w:val="1"/>
          <w:color w:val="auto"/>
        </w:rPr>
        <w:t>本安排与本协议应同步生效，有效期与本协议应相同。双方可</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8"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7-4</w:t>
      </w:r>
    </w:p>
    <w:p>
      <w:pPr>
        <w:sectPr>
          <w:pgSz w:w="11900" w:h="16838" w:orient="portrait"/>
          <w:cols w:equalWidth="0" w:num="1">
            <w:col w:w="9026"/>
          </w:cols>
          <w:pgMar w:left="1440" w:top="1440" w:right="1440" w:bottom="644" w:gutter="0" w:footer="0" w:header="0"/>
        </w:sectPr>
      </w:pPr>
    </w:p>
    <w:bookmarkStart w:id="83" w:name="page84"/>
    <w:bookmarkEnd w:id="83"/>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480"/>
        <w:spacing w:after="0" w:line="340" w:lineRule="exact"/>
        <w:rPr>
          <w:sz w:val="20"/>
          <w:szCs w:val="20"/>
          <w:color w:val="auto"/>
        </w:rPr>
      </w:pPr>
      <w:r>
        <w:rPr>
          <w:rFonts w:ascii="宋体" w:cs="宋体" w:eastAsia="宋体" w:hAnsi="宋体"/>
          <w:sz w:val="28"/>
          <w:szCs w:val="28"/>
          <w:b w:val="1"/>
          <w:bCs w:val="1"/>
          <w:color w:val="auto"/>
        </w:rPr>
        <w:t>在</w:t>
      </w:r>
      <w:r>
        <w:rPr>
          <w:rFonts w:ascii="Arial" w:cs="Arial" w:eastAsia="Arial" w:hAnsi="Arial"/>
          <w:sz w:val="28"/>
          <w:szCs w:val="28"/>
          <w:b w:val="1"/>
          <w:bCs w:val="1"/>
          <w:color w:val="auto"/>
        </w:rPr>
        <w:t>“</w:t>
      </w:r>
      <w:r>
        <w:rPr>
          <w:rFonts w:ascii="宋体" w:cs="宋体" w:eastAsia="宋体" w:hAnsi="宋体"/>
          <w:sz w:val="28"/>
          <w:szCs w:val="28"/>
          <w:b w:val="1"/>
          <w:bCs w:val="1"/>
          <w:color w:val="auto"/>
        </w:rPr>
        <w:t>贸易框架小组</w:t>
      </w:r>
      <w:r>
        <w:rPr>
          <w:rFonts w:ascii="Arial" w:cs="Arial" w:eastAsia="Arial" w:hAnsi="Arial"/>
          <w:sz w:val="28"/>
          <w:szCs w:val="28"/>
          <w:b w:val="1"/>
          <w:bCs w:val="1"/>
          <w:color w:val="auto"/>
        </w:rPr>
        <w:t>”</w:t>
      </w:r>
      <w:r>
        <w:rPr>
          <w:rFonts w:ascii="宋体" w:cs="宋体" w:eastAsia="宋体" w:hAnsi="宋体"/>
          <w:sz w:val="28"/>
          <w:szCs w:val="28"/>
          <w:b w:val="1"/>
          <w:bCs w:val="1"/>
          <w:color w:val="auto"/>
        </w:rPr>
        <w:t>会议上对本安排进行评估，并讨论对本安排如</w:t>
      </w:r>
    </w:p>
    <w:p>
      <w:pPr>
        <w:spacing w:after="0" w:line="228"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有的必要调整。</w:t>
      </w:r>
    </w:p>
    <w:p>
      <w:pPr>
        <w:spacing w:after="0" w:line="200" w:lineRule="exact"/>
        <w:rPr>
          <w:sz w:val="20"/>
          <w:szCs w:val="20"/>
          <w:color w:val="auto"/>
        </w:rPr>
      </w:pPr>
    </w:p>
    <w:p>
      <w:pPr>
        <w:spacing w:after="0" w:line="242" w:lineRule="exact"/>
        <w:rPr>
          <w:sz w:val="20"/>
          <w:szCs w:val="20"/>
          <w:color w:val="auto"/>
        </w:rPr>
      </w:pPr>
    </w:p>
    <w:p>
      <w:pPr>
        <w:ind w:left="3980" w:hanging="345"/>
        <w:spacing w:after="0" w:line="341" w:lineRule="exact"/>
        <w:tabs>
          <w:tab w:leader="none" w:pos="3980" w:val="left"/>
        </w:tabs>
        <w:numPr>
          <w:ilvl w:val="0"/>
          <w:numId w:val="21"/>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7.6 </w:t>
      </w:r>
      <w:r>
        <w:rPr>
          <w:rFonts w:ascii="宋体" w:cs="宋体" w:eastAsia="宋体" w:hAnsi="宋体"/>
          <w:sz w:val="28"/>
          <w:szCs w:val="28"/>
          <w:b w:val="1"/>
          <w:bCs w:val="1"/>
          <w:color w:val="auto"/>
        </w:rPr>
        <w:t>条 其他</w:t>
      </w:r>
    </w:p>
    <w:p>
      <w:pPr>
        <w:spacing w:after="0" w:line="200" w:lineRule="exact"/>
        <w:rPr>
          <w:sz w:val="20"/>
          <w:szCs w:val="20"/>
          <w:color w:val="auto"/>
        </w:rPr>
      </w:pPr>
    </w:p>
    <w:p>
      <w:pPr>
        <w:spacing w:after="0" w:line="261" w:lineRule="exact"/>
        <w:rPr>
          <w:sz w:val="20"/>
          <w:szCs w:val="20"/>
          <w:color w:val="auto"/>
        </w:rPr>
      </w:pPr>
    </w:p>
    <w:p>
      <w:pPr>
        <w:ind w:left="480" w:right="486" w:firstLine="552"/>
        <w:spacing w:after="0" w:line="412" w:lineRule="exact"/>
        <w:rPr>
          <w:sz w:val="20"/>
          <w:szCs w:val="20"/>
          <w:color w:val="auto"/>
        </w:rPr>
      </w:pPr>
      <w:r>
        <w:rPr>
          <w:rFonts w:ascii="宋体" w:cs="宋体" w:eastAsia="宋体" w:hAnsi="宋体"/>
          <w:sz w:val="28"/>
          <w:szCs w:val="28"/>
          <w:b w:val="1"/>
          <w:bCs w:val="1"/>
          <w:color w:val="auto"/>
        </w:rPr>
        <w:t>一、双方确认各自在世贸组织协定和其他共同参加的协定项下相互间的现有权利和义务。</w:t>
      </w:r>
    </w:p>
    <w:p>
      <w:pPr>
        <w:spacing w:after="0" w:line="200" w:lineRule="exact"/>
        <w:rPr>
          <w:sz w:val="20"/>
          <w:szCs w:val="20"/>
          <w:color w:val="auto"/>
        </w:rPr>
      </w:pPr>
    </w:p>
    <w:p>
      <w:pPr>
        <w:spacing w:after="0" w:line="284" w:lineRule="exact"/>
        <w:rPr>
          <w:sz w:val="20"/>
          <w:szCs w:val="20"/>
          <w:color w:val="auto"/>
        </w:rPr>
      </w:pPr>
    </w:p>
    <w:p>
      <w:pPr>
        <w:ind w:left="480" w:right="486" w:firstLine="552"/>
        <w:spacing w:after="0" w:line="412" w:lineRule="exact"/>
        <w:rPr>
          <w:sz w:val="20"/>
          <w:szCs w:val="20"/>
          <w:color w:val="auto"/>
        </w:rPr>
      </w:pPr>
      <w:r>
        <w:rPr>
          <w:rFonts w:ascii="宋体" w:cs="宋体" w:eastAsia="宋体" w:hAnsi="宋体"/>
          <w:sz w:val="28"/>
          <w:szCs w:val="28"/>
          <w:b w:val="1"/>
          <w:bCs w:val="1"/>
          <w:color w:val="auto"/>
        </w:rPr>
        <w:t>二、如因自然灾害或其他双方不可控的不可预料情况，导致一方延误，无法及时履行本协议的义务，双方应进行磋商。</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7-5</w:t>
      </w:r>
    </w:p>
    <w:p>
      <w:pPr>
        <w:sectPr>
          <w:pgSz w:w="11900" w:h="16838" w:orient="portrait"/>
          <w:cols w:equalWidth="0" w:num="1">
            <w:col w:w="9026"/>
          </w:cols>
          <w:pgMar w:left="1440" w:top="1440" w:right="1440" w:bottom="644" w:gutter="0" w:footer="0" w:header="0"/>
        </w:sectPr>
      </w:pPr>
    </w:p>
    <w:bookmarkStart w:id="84" w:name="page85"/>
    <w:bookmarkEnd w:id="84"/>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附件：</w:t>
      </w:r>
    </w:p>
    <w:p>
      <w:pPr>
        <w:spacing w:after="0" w:line="200" w:lineRule="exact"/>
        <w:rPr>
          <w:sz w:val="20"/>
          <w:szCs w:val="20"/>
          <w:color w:val="auto"/>
        </w:rPr>
      </w:pPr>
    </w:p>
    <w:p>
      <w:pPr>
        <w:spacing w:after="0" w:line="241" w:lineRule="exact"/>
        <w:rPr>
          <w:sz w:val="20"/>
          <w:szCs w:val="20"/>
          <w:color w:val="auto"/>
        </w:rPr>
      </w:pPr>
    </w:p>
    <w:p>
      <w:pPr>
        <w:jc w:val="center"/>
        <w:ind w:right="6"/>
        <w:spacing w:after="0" w:line="320" w:lineRule="exact"/>
        <w:rPr>
          <w:sz w:val="20"/>
          <w:szCs w:val="20"/>
          <w:color w:val="auto"/>
        </w:rPr>
      </w:pPr>
      <w:r>
        <w:rPr>
          <w:rFonts w:ascii="宋体" w:cs="宋体" w:eastAsia="宋体" w:hAnsi="宋体"/>
          <w:sz w:val="28"/>
          <w:szCs w:val="28"/>
          <w:b w:val="1"/>
          <w:bCs w:val="1"/>
          <w:color w:val="auto"/>
        </w:rPr>
        <w:t>双边评估和争端解决安排工作流程</w:t>
      </w:r>
    </w:p>
    <w:p>
      <w:pPr>
        <w:spacing w:after="0" w:line="200" w:lineRule="exact"/>
        <w:rPr>
          <w:sz w:val="20"/>
          <w:szCs w:val="20"/>
          <w:color w:val="auto"/>
        </w:rPr>
      </w:pPr>
    </w:p>
    <w:p>
      <w:pPr>
        <w:spacing w:after="0" w:line="24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会议安排</w:t>
      </w:r>
    </w:p>
    <w:p>
      <w:pPr>
        <w:spacing w:after="0" w:line="200" w:lineRule="exact"/>
        <w:rPr>
          <w:sz w:val="20"/>
          <w:szCs w:val="20"/>
          <w:color w:val="auto"/>
        </w:rPr>
      </w:pPr>
    </w:p>
    <w:p>
      <w:pPr>
        <w:spacing w:after="0" w:line="242"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w:t>
      </w:r>
      <w:r>
        <w:rPr>
          <w:rFonts w:ascii="Arial" w:cs="Arial" w:eastAsia="Arial" w:hAnsi="Arial"/>
          <w:sz w:val="28"/>
          <w:szCs w:val="28"/>
          <w:b w:val="1"/>
          <w:bCs w:val="1"/>
          <w:color w:val="auto"/>
        </w:rPr>
        <w:t>“</w:t>
      </w:r>
      <w:r>
        <w:rPr>
          <w:rFonts w:ascii="宋体" w:cs="宋体" w:eastAsia="宋体" w:hAnsi="宋体"/>
          <w:sz w:val="28"/>
          <w:szCs w:val="28"/>
          <w:b w:val="1"/>
          <w:bCs w:val="1"/>
          <w:color w:val="auto"/>
        </w:rPr>
        <w:t>贸易框架小组</w:t>
      </w:r>
      <w:r>
        <w:rPr>
          <w:rFonts w:ascii="Arial" w:cs="Arial" w:eastAsia="Arial" w:hAnsi="Arial"/>
          <w:sz w:val="28"/>
          <w:szCs w:val="28"/>
          <w:b w:val="1"/>
          <w:bCs w:val="1"/>
          <w:color w:val="auto"/>
        </w:rPr>
        <w:t>”</w:t>
      </w:r>
      <w:r>
        <w:rPr>
          <w:rFonts w:ascii="宋体" w:cs="宋体" w:eastAsia="宋体" w:hAnsi="宋体"/>
          <w:sz w:val="28"/>
          <w:szCs w:val="28"/>
          <w:b w:val="1"/>
          <w:bCs w:val="1"/>
          <w:color w:val="auto"/>
        </w:rPr>
        <w:t>会议应每</w:t>
      </w:r>
      <w:r>
        <w:rPr>
          <w:rFonts w:ascii="Times New Roman" w:cs="Times New Roman" w:eastAsia="Times New Roman" w:hAnsi="Times New Roman"/>
          <w:sz w:val="28"/>
          <w:szCs w:val="28"/>
          <w:b w:val="1"/>
          <w:bCs w:val="1"/>
          <w:color w:val="auto"/>
        </w:rPr>
        <w:t>6</w:t>
      </w:r>
      <w:r>
        <w:rPr>
          <w:rFonts w:ascii="宋体" w:cs="宋体" w:eastAsia="宋体" w:hAnsi="宋体"/>
          <w:sz w:val="28"/>
          <w:szCs w:val="28"/>
          <w:b w:val="1"/>
          <w:bCs w:val="1"/>
          <w:color w:val="auto"/>
        </w:rPr>
        <w:t>个月举行</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次。</w:t>
      </w:r>
    </w:p>
    <w:p>
      <w:pPr>
        <w:spacing w:after="0" w:line="200" w:lineRule="exact"/>
        <w:rPr>
          <w:sz w:val="20"/>
          <w:szCs w:val="20"/>
          <w:color w:val="auto"/>
        </w:rPr>
      </w:pPr>
    </w:p>
    <w:p>
      <w:pPr>
        <w:spacing w:after="0" w:line="21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二、宏观经济会议应定期举行。</w:t>
      </w:r>
    </w:p>
    <w:p>
      <w:pPr>
        <w:spacing w:after="0" w:line="200" w:lineRule="exact"/>
        <w:rPr>
          <w:sz w:val="20"/>
          <w:szCs w:val="20"/>
          <w:color w:val="auto"/>
        </w:rPr>
      </w:pPr>
    </w:p>
    <w:p>
      <w:pPr>
        <w:spacing w:after="0" w:line="284" w:lineRule="exact"/>
        <w:rPr>
          <w:sz w:val="20"/>
          <w:szCs w:val="20"/>
          <w:color w:val="auto"/>
        </w:rPr>
      </w:pPr>
    </w:p>
    <w:p>
      <w:pPr>
        <w:ind w:left="480" w:right="486" w:firstLine="562"/>
        <w:spacing w:after="0" w:line="423" w:lineRule="exact"/>
        <w:rPr>
          <w:sz w:val="20"/>
          <w:szCs w:val="20"/>
          <w:color w:val="auto"/>
        </w:rPr>
      </w:pPr>
      <w:r>
        <w:rPr>
          <w:rFonts w:ascii="宋体" w:cs="宋体" w:eastAsia="宋体" w:hAnsi="宋体"/>
          <w:sz w:val="28"/>
          <w:szCs w:val="28"/>
          <w:b w:val="1"/>
          <w:bCs w:val="1"/>
          <w:color w:val="auto"/>
        </w:rPr>
        <w:t>三、每一方</w:t>
      </w:r>
      <w:r>
        <w:rPr>
          <w:rFonts w:ascii="Arial" w:cs="Arial" w:eastAsia="Arial" w:hAnsi="Arial"/>
          <w:sz w:val="28"/>
          <w:szCs w:val="28"/>
          <w:b w:val="1"/>
          <w:bCs w:val="1"/>
          <w:color w:val="auto"/>
        </w:rPr>
        <w:t>“</w:t>
      </w:r>
      <w:r>
        <w:rPr>
          <w:rFonts w:ascii="宋体" w:cs="宋体" w:eastAsia="宋体" w:hAnsi="宋体"/>
          <w:sz w:val="28"/>
          <w:szCs w:val="28"/>
          <w:b w:val="1"/>
          <w:bCs w:val="1"/>
          <w:color w:val="auto"/>
        </w:rPr>
        <w:t>双边评估和争端解决办公室</w:t>
      </w:r>
      <w:r>
        <w:rPr>
          <w:rFonts w:ascii="Arial" w:cs="Arial" w:eastAsia="Arial" w:hAnsi="Arial"/>
          <w:sz w:val="28"/>
          <w:szCs w:val="28"/>
          <w:b w:val="1"/>
          <w:bCs w:val="1"/>
          <w:color w:val="auto"/>
        </w:rPr>
        <w:t>”</w:t>
      </w:r>
      <w:r>
        <w:rPr>
          <w:rFonts w:ascii="宋体" w:cs="宋体" w:eastAsia="宋体" w:hAnsi="宋体"/>
          <w:sz w:val="28"/>
          <w:szCs w:val="28"/>
          <w:b w:val="1"/>
          <w:bCs w:val="1"/>
          <w:color w:val="auto"/>
        </w:rPr>
        <w:t>负责人应每季度举行</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次会议。</w:t>
      </w:r>
    </w:p>
    <w:p>
      <w:pPr>
        <w:spacing w:after="0" w:line="200" w:lineRule="exact"/>
        <w:rPr>
          <w:sz w:val="20"/>
          <w:szCs w:val="20"/>
          <w:color w:val="auto"/>
        </w:rPr>
      </w:pPr>
    </w:p>
    <w:p>
      <w:pPr>
        <w:spacing w:after="0" w:line="221"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四、每一方指定官员至少应每月举行</w:t>
      </w:r>
      <w:r>
        <w:rPr>
          <w:rFonts w:ascii="Times New Roman" w:cs="Times New Roman" w:eastAsia="Times New Roman" w:hAnsi="Times New Roman"/>
          <w:sz w:val="28"/>
          <w:szCs w:val="28"/>
          <w:b w:val="1"/>
          <w:bCs w:val="1"/>
          <w:color w:val="auto"/>
        </w:rPr>
        <w:t>1</w:t>
      </w:r>
      <w:r>
        <w:rPr>
          <w:rFonts w:ascii="宋体" w:cs="宋体" w:eastAsia="宋体" w:hAnsi="宋体"/>
          <w:sz w:val="28"/>
          <w:szCs w:val="28"/>
          <w:b w:val="1"/>
          <w:bCs w:val="1"/>
          <w:color w:val="auto"/>
        </w:rPr>
        <w:t>次会议。</w:t>
      </w:r>
    </w:p>
    <w:p>
      <w:pPr>
        <w:spacing w:after="0" w:line="200" w:lineRule="exact"/>
        <w:rPr>
          <w:sz w:val="20"/>
          <w:szCs w:val="20"/>
          <w:color w:val="auto"/>
        </w:rPr>
      </w:pPr>
    </w:p>
    <w:p>
      <w:pPr>
        <w:spacing w:after="0" w:line="218"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五、本协议生效后最初</w:t>
      </w:r>
      <w:r>
        <w:rPr>
          <w:rFonts w:ascii="Times New Roman" w:cs="Times New Roman" w:eastAsia="Times New Roman" w:hAnsi="Times New Roman"/>
          <w:sz w:val="28"/>
          <w:szCs w:val="28"/>
          <w:b w:val="1"/>
          <w:bCs w:val="1"/>
          <w:color w:val="auto"/>
        </w:rPr>
        <w:t>2</w:t>
      </w:r>
      <w:r>
        <w:rPr>
          <w:rFonts w:ascii="宋体" w:cs="宋体" w:eastAsia="宋体" w:hAnsi="宋体"/>
          <w:sz w:val="28"/>
          <w:szCs w:val="28"/>
          <w:b w:val="1"/>
          <w:bCs w:val="1"/>
          <w:color w:val="auto"/>
        </w:rPr>
        <w:t>年，可适当提高上述会议的频次。会</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议可当面进行，或可通过双方可用的其他方式进行。</w:t>
      </w:r>
    </w:p>
    <w:p>
      <w:pPr>
        <w:spacing w:after="0" w:line="200" w:lineRule="exact"/>
        <w:rPr>
          <w:sz w:val="20"/>
          <w:szCs w:val="20"/>
          <w:color w:val="auto"/>
        </w:rPr>
      </w:pPr>
    </w:p>
    <w:p>
      <w:pPr>
        <w:spacing w:after="0" w:line="24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对信息请求的回应</w:t>
      </w:r>
    </w:p>
    <w:p>
      <w:pPr>
        <w:spacing w:after="0" w:line="200" w:lineRule="exact"/>
        <w:rPr>
          <w:sz w:val="20"/>
          <w:szCs w:val="20"/>
          <w:color w:val="auto"/>
        </w:rPr>
      </w:pPr>
    </w:p>
    <w:p>
      <w:pPr>
        <w:spacing w:after="0" w:line="272" w:lineRule="exact"/>
        <w:rPr>
          <w:sz w:val="20"/>
          <w:szCs w:val="20"/>
          <w:color w:val="auto"/>
        </w:rPr>
      </w:pPr>
    </w:p>
    <w:p>
      <w:pPr>
        <w:ind w:left="480" w:right="606" w:firstLine="562"/>
        <w:spacing w:after="0" w:line="417" w:lineRule="exact"/>
        <w:rPr>
          <w:sz w:val="20"/>
          <w:szCs w:val="20"/>
          <w:color w:val="auto"/>
        </w:rPr>
      </w:pPr>
      <w:r>
        <w:rPr>
          <w:rFonts w:ascii="宋体" w:cs="宋体" w:eastAsia="宋体" w:hAnsi="宋体"/>
          <w:sz w:val="28"/>
          <w:szCs w:val="28"/>
          <w:b w:val="1"/>
          <w:bCs w:val="1"/>
          <w:color w:val="auto"/>
        </w:rPr>
        <w:t>按照第</w:t>
      </w:r>
      <w:r>
        <w:rPr>
          <w:rFonts w:ascii="Times New Roman" w:cs="Times New Roman" w:eastAsia="Times New Roman" w:hAnsi="Times New Roman"/>
          <w:sz w:val="28"/>
          <w:szCs w:val="28"/>
          <w:b w:val="1"/>
          <w:bCs w:val="1"/>
          <w:color w:val="auto"/>
        </w:rPr>
        <w:t>7.3</w:t>
      </w:r>
      <w:r>
        <w:rPr>
          <w:rFonts w:ascii="宋体" w:cs="宋体" w:eastAsia="宋体" w:hAnsi="宋体"/>
          <w:sz w:val="28"/>
          <w:szCs w:val="28"/>
          <w:b w:val="1"/>
          <w:bCs w:val="1"/>
          <w:color w:val="auto"/>
        </w:rPr>
        <w:t>条，在一方请求提供信息之日起</w:t>
      </w:r>
      <w:r>
        <w:rPr>
          <w:rFonts w:ascii="Times New Roman" w:cs="Times New Roman" w:eastAsia="Times New Roman" w:hAnsi="Times New Roman"/>
          <w:sz w:val="28"/>
          <w:szCs w:val="28"/>
          <w:b w:val="1"/>
          <w:bCs w:val="1"/>
          <w:color w:val="auto"/>
        </w:rPr>
        <w:t>15</w:t>
      </w:r>
      <w:r>
        <w:rPr>
          <w:rFonts w:ascii="宋体" w:cs="宋体" w:eastAsia="宋体" w:hAnsi="宋体"/>
          <w:sz w:val="28"/>
          <w:szCs w:val="28"/>
          <w:b w:val="1"/>
          <w:bCs w:val="1"/>
          <w:color w:val="auto"/>
        </w:rPr>
        <w:t>个工作日内，另一方应予回复。</w:t>
      </w:r>
    </w:p>
    <w:p>
      <w:pPr>
        <w:spacing w:after="0" w:line="200" w:lineRule="exact"/>
        <w:rPr>
          <w:sz w:val="20"/>
          <w:szCs w:val="20"/>
          <w:color w:val="auto"/>
        </w:rPr>
      </w:pPr>
    </w:p>
    <w:p>
      <w:pPr>
        <w:spacing w:after="0" w:line="296"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争端解决时限</w:t>
      </w:r>
    </w:p>
    <w:p>
      <w:pPr>
        <w:spacing w:after="0" w:line="200" w:lineRule="exact"/>
        <w:rPr>
          <w:sz w:val="20"/>
          <w:szCs w:val="20"/>
          <w:color w:val="auto"/>
        </w:rPr>
      </w:pPr>
    </w:p>
    <w:p>
      <w:pPr>
        <w:spacing w:after="0" w:line="396" w:lineRule="exact"/>
        <w:rPr>
          <w:sz w:val="20"/>
          <w:szCs w:val="20"/>
          <w:color w:val="auto"/>
        </w:rPr>
      </w:pPr>
    </w:p>
    <w:p>
      <w:pPr>
        <w:ind w:left="480" w:right="606" w:firstLine="562"/>
        <w:spacing w:after="0" w:line="417" w:lineRule="exact"/>
        <w:rPr>
          <w:sz w:val="20"/>
          <w:szCs w:val="20"/>
          <w:color w:val="auto"/>
        </w:rPr>
      </w:pPr>
      <w:r>
        <w:rPr>
          <w:rFonts w:ascii="宋体" w:cs="宋体" w:eastAsia="宋体" w:hAnsi="宋体"/>
          <w:sz w:val="28"/>
          <w:szCs w:val="28"/>
          <w:b w:val="1"/>
          <w:bCs w:val="1"/>
          <w:color w:val="auto"/>
        </w:rPr>
        <w:t>一、按照第</w:t>
      </w:r>
      <w:r>
        <w:rPr>
          <w:rFonts w:ascii="Times New Roman" w:cs="Times New Roman" w:eastAsia="Times New Roman" w:hAnsi="Times New Roman"/>
          <w:sz w:val="28"/>
          <w:szCs w:val="28"/>
          <w:b w:val="1"/>
          <w:bCs w:val="1"/>
          <w:color w:val="auto"/>
        </w:rPr>
        <w:t>7.4</w:t>
      </w:r>
      <w:r>
        <w:rPr>
          <w:rFonts w:ascii="宋体" w:cs="宋体" w:eastAsia="宋体" w:hAnsi="宋体"/>
          <w:sz w:val="28"/>
          <w:szCs w:val="28"/>
          <w:b w:val="1"/>
          <w:bCs w:val="1"/>
          <w:color w:val="auto"/>
        </w:rPr>
        <w:t>条第三款，被申诉方应在收到申诉之日起</w:t>
      </w:r>
      <w:r>
        <w:rPr>
          <w:rFonts w:ascii="Times New Roman" w:cs="Times New Roman" w:eastAsia="Times New Roman" w:hAnsi="Times New Roman"/>
          <w:sz w:val="28"/>
          <w:szCs w:val="28"/>
          <w:b w:val="1"/>
          <w:bCs w:val="1"/>
          <w:color w:val="auto"/>
        </w:rPr>
        <w:t>10</w:t>
      </w:r>
      <w:r>
        <w:rPr>
          <w:rFonts w:ascii="宋体" w:cs="宋体" w:eastAsia="宋体" w:hAnsi="宋体"/>
          <w:sz w:val="28"/>
          <w:szCs w:val="28"/>
          <w:b w:val="1"/>
          <w:bCs w:val="1"/>
          <w:color w:val="auto"/>
        </w:rPr>
        <w:t>个工作日内，启动并完成对申诉的评估。</w:t>
      </w:r>
    </w:p>
    <w:p>
      <w:pPr>
        <w:spacing w:after="0" w:line="200" w:lineRule="exact"/>
        <w:rPr>
          <w:sz w:val="20"/>
          <w:szCs w:val="20"/>
          <w:color w:val="auto"/>
        </w:rPr>
      </w:pPr>
    </w:p>
    <w:p>
      <w:pPr>
        <w:spacing w:after="0" w:line="243"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二、按照第</w:t>
      </w:r>
      <w:r>
        <w:rPr>
          <w:rFonts w:ascii="Times New Roman" w:cs="Times New Roman" w:eastAsia="Times New Roman" w:hAnsi="Times New Roman"/>
          <w:sz w:val="28"/>
          <w:szCs w:val="28"/>
          <w:b w:val="1"/>
          <w:bCs w:val="1"/>
          <w:color w:val="auto"/>
        </w:rPr>
        <w:t>7.4</w:t>
      </w:r>
      <w:r>
        <w:rPr>
          <w:rFonts w:ascii="宋体" w:cs="宋体" w:eastAsia="宋体" w:hAnsi="宋体"/>
          <w:sz w:val="28"/>
          <w:szCs w:val="28"/>
          <w:b w:val="1"/>
          <w:bCs w:val="1"/>
          <w:color w:val="auto"/>
        </w:rPr>
        <w:t>条第四款第（一）项：</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7-6</w:t>
      </w:r>
    </w:p>
    <w:p>
      <w:pPr>
        <w:sectPr>
          <w:pgSz w:w="11900" w:h="16838" w:orient="portrait"/>
          <w:cols w:equalWidth="0" w:num="1">
            <w:col w:w="9026"/>
          </w:cols>
          <w:pgMar w:left="1440" w:top="1440" w:right="1440" w:bottom="644" w:gutter="0" w:footer="0" w:header="0"/>
        </w:sectPr>
      </w:pPr>
    </w:p>
    <w:bookmarkStart w:id="85" w:name="page86"/>
    <w:bookmarkEnd w:id="85"/>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040"/>
        <w:spacing w:after="0" w:line="341" w:lineRule="exact"/>
        <w:rPr>
          <w:sz w:val="20"/>
          <w:szCs w:val="20"/>
          <w:color w:val="auto"/>
        </w:rPr>
      </w:pPr>
      <w:r>
        <w:rPr>
          <w:rFonts w:ascii="宋体" w:cs="宋体" w:eastAsia="宋体" w:hAnsi="宋体"/>
          <w:sz w:val="28"/>
          <w:szCs w:val="28"/>
          <w:b w:val="1"/>
          <w:bCs w:val="1"/>
          <w:color w:val="auto"/>
        </w:rPr>
        <w:t>（一）指定官员应在收到申诉之日起</w:t>
      </w:r>
      <w:r>
        <w:rPr>
          <w:rFonts w:ascii="Times New Roman" w:cs="Times New Roman" w:eastAsia="Times New Roman" w:hAnsi="Times New Roman"/>
          <w:sz w:val="28"/>
          <w:szCs w:val="28"/>
          <w:b w:val="1"/>
          <w:bCs w:val="1"/>
          <w:color w:val="auto"/>
        </w:rPr>
        <w:t>21</w:t>
      </w:r>
      <w:r>
        <w:rPr>
          <w:rFonts w:ascii="宋体" w:cs="宋体" w:eastAsia="宋体" w:hAnsi="宋体"/>
          <w:sz w:val="28"/>
          <w:szCs w:val="28"/>
          <w:b w:val="1"/>
          <w:bCs w:val="1"/>
          <w:color w:val="auto"/>
        </w:rPr>
        <w:t>个日历日内达成解决方</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案。</w:t>
      </w:r>
    </w:p>
    <w:p>
      <w:pPr>
        <w:spacing w:after="0" w:line="200" w:lineRule="exact"/>
        <w:rPr>
          <w:sz w:val="20"/>
          <w:szCs w:val="20"/>
          <w:color w:val="auto"/>
        </w:rPr>
      </w:pPr>
    </w:p>
    <w:p>
      <w:pPr>
        <w:spacing w:after="0" w:line="23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（二）如果指定官员未解决申诉，中国指定的副部长和美国指</w:t>
      </w:r>
    </w:p>
    <w:p>
      <w:pPr>
        <w:spacing w:after="0" w:line="229"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定的副贸易代表应在收到申诉之日起</w:t>
      </w:r>
      <w:r>
        <w:rPr>
          <w:rFonts w:ascii="Times New Roman" w:cs="Times New Roman" w:eastAsia="Times New Roman" w:hAnsi="Times New Roman"/>
          <w:sz w:val="28"/>
          <w:szCs w:val="28"/>
          <w:b w:val="1"/>
          <w:bCs w:val="1"/>
          <w:color w:val="auto"/>
        </w:rPr>
        <w:t>45</w:t>
      </w:r>
      <w:r>
        <w:rPr>
          <w:rFonts w:ascii="宋体" w:cs="宋体" w:eastAsia="宋体" w:hAnsi="宋体"/>
          <w:sz w:val="28"/>
          <w:szCs w:val="28"/>
          <w:b w:val="1"/>
          <w:bCs w:val="1"/>
          <w:color w:val="auto"/>
        </w:rPr>
        <w:t>个日历日内达成解决方案。</w:t>
      </w:r>
    </w:p>
    <w:p>
      <w:pPr>
        <w:spacing w:after="0" w:line="200" w:lineRule="exact"/>
        <w:rPr>
          <w:sz w:val="20"/>
          <w:szCs w:val="20"/>
          <w:color w:val="auto"/>
        </w:rPr>
      </w:pPr>
    </w:p>
    <w:p>
      <w:pPr>
        <w:spacing w:after="0" w:line="21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（三）如果申诉在副部级层面未得到解决，且申诉方将其提交</w:t>
      </w:r>
    </w:p>
    <w:p>
      <w:pPr>
        <w:spacing w:after="0" w:line="225"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至中国国务院分管副总理和美国贸易代表，上述官员应在申诉方提</w:t>
      </w:r>
    </w:p>
    <w:p>
      <w:pPr>
        <w:spacing w:after="0" w:line="227"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请召开会议之日起的</w:t>
      </w:r>
      <w:r>
        <w:rPr>
          <w:rFonts w:ascii="Times New Roman" w:cs="Times New Roman" w:eastAsia="Times New Roman" w:hAnsi="Times New Roman"/>
          <w:sz w:val="28"/>
          <w:szCs w:val="28"/>
          <w:b w:val="1"/>
          <w:bCs w:val="1"/>
          <w:color w:val="auto"/>
        </w:rPr>
        <w:t>30</w:t>
      </w:r>
      <w:r>
        <w:rPr>
          <w:rFonts w:ascii="宋体" w:cs="宋体" w:eastAsia="宋体" w:hAnsi="宋体"/>
          <w:sz w:val="28"/>
          <w:szCs w:val="28"/>
          <w:b w:val="1"/>
          <w:bCs w:val="1"/>
          <w:color w:val="auto"/>
        </w:rPr>
        <w:t>个日历日内举行会议。</w:t>
      </w:r>
    </w:p>
    <w:p>
      <w:pPr>
        <w:spacing w:after="0" w:line="200" w:lineRule="exact"/>
        <w:rPr>
          <w:sz w:val="20"/>
          <w:szCs w:val="20"/>
          <w:color w:val="auto"/>
        </w:rPr>
      </w:pPr>
    </w:p>
    <w:p>
      <w:pPr>
        <w:spacing w:after="0" w:line="252" w:lineRule="exact"/>
        <w:rPr>
          <w:sz w:val="20"/>
          <w:szCs w:val="20"/>
          <w:color w:val="auto"/>
        </w:rPr>
      </w:pPr>
    </w:p>
    <w:p>
      <w:pPr>
        <w:jc w:val="both"/>
        <w:ind w:left="480" w:right="606" w:firstLine="562"/>
        <w:spacing w:after="0" w:line="459" w:lineRule="exact"/>
        <w:rPr>
          <w:sz w:val="20"/>
          <w:szCs w:val="20"/>
          <w:color w:val="auto"/>
        </w:rPr>
      </w:pPr>
      <w:r>
        <w:rPr>
          <w:rFonts w:ascii="宋体" w:cs="宋体" w:eastAsia="宋体" w:hAnsi="宋体"/>
          <w:sz w:val="28"/>
          <w:szCs w:val="28"/>
          <w:b w:val="1"/>
          <w:bCs w:val="1"/>
          <w:color w:val="auto"/>
        </w:rPr>
        <w:t>三、按照第</w:t>
      </w:r>
      <w:r>
        <w:rPr>
          <w:rFonts w:ascii="Times New Roman" w:cs="Times New Roman" w:eastAsia="Times New Roman" w:hAnsi="Times New Roman"/>
          <w:sz w:val="28"/>
          <w:szCs w:val="28"/>
          <w:b w:val="1"/>
          <w:bCs w:val="1"/>
          <w:color w:val="auto"/>
        </w:rPr>
        <w:t>7.4</w:t>
      </w:r>
      <w:r>
        <w:rPr>
          <w:rFonts w:ascii="宋体" w:cs="宋体" w:eastAsia="宋体" w:hAnsi="宋体"/>
          <w:sz w:val="28"/>
          <w:szCs w:val="28"/>
          <w:b w:val="1"/>
          <w:bCs w:val="1"/>
          <w:color w:val="auto"/>
        </w:rPr>
        <w:t>条第五款，如中国国务院分管副总理或美国贸易代表提请就紧急事项召开会议，会议应在收到该提请之日起</w:t>
      </w:r>
      <w:r>
        <w:rPr>
          <w:rFonts w:ascii="Times New Roman" w:cs="Times New Roman" w:eastAsia="Times New Roman" w:hAnsi="Times New Roman"/>
          <w:sz w:val="28"/>
          <w:szCs w:val="28"/>
          <w:b w:val="1"/>
          <w:bCs w:val="1"/>
          <w:color w:val="auto"/>
        </w:rPr>
        <w:t>30</w:t>
      </w:r>
      <w:r>
        <w:rPr>
          <w:rFonts w:ascii="宋体" w:cs="宋体" w:eastAsia="宋体" w:hAnsi="宋体"/>
          <w:sz w:val="28"/>
          <w:szCs w:val="28"/>
          <w:b w:val="1"/>
          <w:bCs w:val="1"/>
          <w:color w:val="auto"/>
        </w:rPr>
        <w:t>个日历日内召开。</w:t>
      </w:r>
    </w:p>
    <w:p>
      <w:pPr>
        <w:spacing w:after="0" w:line="200" w:lineRule="exact"/>
        <w:rPr>
          <w:sz w:val="20"/>
          <w:szCs w:val="20"/>
          <w:color w:val="auto"/>
        </w:rPr>
      </w:pPr>
    </w:p>
    <w:p>
      <w:pPr>
        <w:spacing w:after="0" w:line="244"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四、双方可书面同意延长本附件所列时限。</w:t>
      </w:r>
    </w:p>
    <w:p>
      <w:pPr>
        <w:spacing w:after="0" w:line="200" w:lineRule="exact"/>
        <w:rPr>
          <w:sz w:val="20"/>
          <w:szCs w:val="20"/>
          <w:color w:val="auto"/>
        </w:rPr>
      </w:pPr>
    </w:p>
    <w:p>
      <w:pPr>
        <w:spacing w:after="0" w:line="242"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五、本附件有关工作日期按照被申诉方政府的官方日历计算。</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7-7</w:t>
      </w:r>
    </w:p>
    <w:p>
      <w:pPr>
        <w:sectPr>
          <w:pgSz w:w="11900" w:h="16838" w:orient="portrait"/>
          <w:cols w:equalWidth="0" w:num="1">
            <w:col w:w="9026"/>
          </w:cols>
          <w:pgMar w:left="1440" w:top="1440" w:right="1440" w:bottom="644" w:gutter="0" w:footer="0" w:header="0"/>
        </w:sectPr>
      </w:pPr>
    </w:p>
    <w:bookmarkStart w:id="86" w:name="page87"/>
    <w:bookmarkEnd w:id="8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jc w:val="center"/>
        <w:ind w:right="6"/>
        <w:spacing w:after="0" w:line="343" w:lineRule="exact"/>
        <w:rPr>
          <w:sz w:val="20"/>
          <w:szCs w:val="20"/>
          <w:color w:val="auto"/>
        </w:rPr>
      </w:pPr>
      <w:r>
        <w:rPr>
          <w:rFonts w:ascii="宋体" w:cs="宋体" w:eastAsia="宋体" w:hAnsi="宋体"/>
          <w:sz w:val="30"/>
          <w:szCs w:val="30"/>
          <w:b w:val="1"/>
          <w:bCs w:val="1"/>
          <w:color w:val="auto"/>
        </w:rPr>
        <w:t>第八章 最终条款</w:t>
      </w:r>
    </w:p>
    <w:p>
      <w:pPr>
        <w:spacing w:after="0" w:line="200" w:lineRule="exact"/>
        <w:rPr>
          <w:sz w:val="20"/>
          <w:szCs w:val="20"/>
          <w:color w:val="auto"/>
        </w:rPr>
      </w:pPr>
    </w:p>
    <w:p>
      <w:pPr>
        <w:spacing w:after="0" w:line="260"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 xml:space="preserve"> 8.1 </w:t>
      </w:r>
      <w:r>
        <w:rPr>
          <w:rFonts w:ascii="宋体" w:cs="宋体" w:eastAsia="宋体" w:hAnsi="宋体"/>
          <w:sz w:val="28"/>
          <w:szCs w:val="28"/>
          <w:b w:val="1"/>
          <w:bCs w:val="1"/>
          <w:color w:val="auto"/>
        </w:rPr>
        <w:t>条 附件、附录和脚注</w:t>
      </w:r>
    </w:p>
    <w:p>
      <w:pPr>
        <w:spacing w:after="0" w:line="200" w:lineRule="exact"/>
        <w:rPr>
          <w:sz w:val="20"/>
          <w:szCs w:val="20"/>
          <w:color w:val="auto"/>
        </w:rPr>
      </w:pPr>
    </w:p>
    <w:p>
      <w:pPr>
        <w:spacing w:after="0" w:line="21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本协议附件、附录和脚注均为本协议的组成部分。</w:t>
      </w:r>
    </w:p>
    <w:p>
      <w:pPr>
        <w:spacing w:after="0" w:line="200" w:lineRule="exact"/>
        <w:rPr>
          <w:sz w:val="20"/>
          <w:szCs w:val="20"/>
          <w:color w:val="auto"/>
        </w:rPr>
      </w:pPr>
    </w:p>
    <w:p>
      <w:pPr>
        <w:spacing w:after="0" w:line="245" w:lineRule="exact"/>
        <w:rPr>
          <w:sz w:val="20"/>
          <w:szCs w:val="20"/>
          <w:color w:val="auto"/>
        </w:rPr>
      </w:pPr>
    </w:p>
    <w:p>
      <w:pPr>
        <w:ind w:left="3920" w:hanging="355"/>
        <w:spacing w:after="0" w:line="341" w:lineRule="exact"/>
        <w:tabs>
          <w:tab w:leader="none" w:pos="3920" w:val="left"/>
        </w:tabs>
        <w:numPr>
          <w:ilvl w:val="0"/>
          <w:numId w:val="22"/>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8.2 </w:t>
      </w:r>
      <w:r>
        <w:rPr>
          <w:rFonts w:ascii="宋体" w:cs="宋体" w:eastAsia="宋体" w:hAnsi="宋体"/>
          <w:sz w:val="28"/>
          <w:szCs w:val="28"/>
          <w:b w:val="1"/>
          <w:bCs w:val="1"/>
          <w:color w:val="auto"/>
        </w:rPr>
        <w:t>条 修 订</w:t>
      </w:r>
    </w:p>
    <w:p>
      <w:pPr>
        <w:spacing w:after="0" w:line="200" w:lineRule="exact"/>
        <w:rPr>
          <w:rFonts w:ascii="宋体" w:cs="宋体" w:eastAsia="宋体" w:hAnsi="宋体"/>
          <w:sz w:val="28"/>
          <w:szCs w:val="28"/>
          <w:b w:val="1"/>
          <w:bCs w:val="1"/>
          <w:color w:val="auto"/>
        </w:rPr>
      </w:pPr>
    </w:p>
    <w:p>
      <w:pPr>
        <w:spacing w:after="0" w:line="219" w:lineRule="exact"/>
        <w:rPr>
          <w:rFonts w:ascii="宋体" w:cs="宋体" w:eastAsia="宋体" w:hAnsi="宋体"/>
          <w:sz w:val="28"/>
          <w:szCs w:val="28"/>
          <w:b w:val="1"/>
          <w:bCs w:val="1"/>
          <w:color w:val="auto"/>
        </w:rPr>
      </w:pPr>
    </w:p>
    <w:p>
      <w:pPr>
        <w:ind w:left="1040"/>
        <w:spacing w:after="0" w:line="320"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一、双方可以经书面同意修订本协议。</w:t>
      </w:r>
    </w:p>
    <w:p>
      <w:pPr>
        <w:spacing w:after="0" w:line="200" w:lineRule="exact"/>
        <w:rPr>
          <w:sz w:val="20"/>
          <w:szCs w:val="20"/>
          <w:color w:val="auto"/>
        </w:rPr>
      </w:pPr>
    </w:p>
    <w:p>
      <w:pPr>
        <w:spacing w:after="0" w:line="239"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二、修订应当自双方相互书面通知已按照各自国内适用程序批</w:t>
      </w:r>
    </w:p>
    <w:p>
      <w:pPr>
        <w:spacing w:after="0" w:line="229"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准相关修订</w:t>
      </w:r>
      <w:r>
        <w:rPr>
          <w:rFonts w:ascii="Times New Roman" w:cs="Times New Roman" w:eastAsia="Times New Roman" w:hAnsi="Times New Roman"/>
          <w:sz w:val="28"/>
          <w:szCs w:val="28"/>
          <w:b w:val="1"/>
          <w:bCs w:val="1"/>
          <w:color w:val="auto"/>
        </w:rPr>
        <w:t xml:space="preserve"> 60 </w:t>
      </w:r>
      <w:r>
        <w:rPr>
          <w:rFonts w:ascii="宋体" w:cs="宋体" w:eastAsia="宋体" w:hAnsi="宋体"/>
          <w:sz w:val="28"/>
          <w:szCs w:val="28"/>
          <w:b w:val="1"/>
          <w:bCs w:val="1"/>
          <w:color w:val="auto"/>
        </w:rPr>
        <w:t>日后生效，或双方同意的其他日期起生效。</w:t>
      </w:r>
    </w:p>
    <w:p>
      <w:pPr>
        <w:spacing w:after="0" w:line="200" w:lineRule="exact"/>
        <w:rPr>
          <w:sz w:val="20"/>
          <w:szCs w:val="20"/>
          <w:color w:val="auto"/>
        </w:rPr>
      </w:pPr>
    </w:p>
    <w:p>
      <w:pPr>
        <w:spacing w:after="0" w:line="223" w:lineRule="exact"/>
        <w:rPr>
          <w:sz w:val="20"/>
          <w:szCs w:val="20"/>
          <w:color w:val="auto"/>
        </w:rPr>
      </w:pPr>
    </w:p>
    <w:p>
      <w:pPr>
        <w:jc w:val="center"/>
        <w:ind w:right="6"/>
        <w:spacing w:after="0" w:line="341" w:lineRule="exact"/>
        <w:rPr>
          <w:sz w:val="20"/>
          <w:szCs w:val="20"/>
          <w:color w:val="auto"/>
        </w:rPr>
      </w:pPr>
      <w:r>
        <w:rPr>
          <w:rFonts w:ascii="宋体" w:cs="宋体" w:eastAsia="宋体" w:hAnsi="宋体"/>
          <w:sz w:val="28"/>
          <w:szCs w:val="28"/>
          <w:b w:val="1"/>
          <w:bCs w:val="1"/>
          <w:color w:val="auto"/>
        </w:rPr>
        <w:t>第</w:t>
      </w:r>
      <w:r>
        <w:rPr>
          <w:rFonts w:ascii="Times New Roman" w:cs="Times New Roman" w:eastAsia="Times New Roman" w:hAnsi="Times New Roman"/>
          <w:sz w:val="28"/>
          <w:szCs w:val="28"/>
          <w:b w:val="1"/>
          <w:bCs w:val="1"/>
          <w:color w:val="auto"/>
        </w:rPr>
        <w:t xml:space="preserve"> 8.3 </w:t>
      </w:r>
      <w:r>
        <w:rPr>
          <w:rFonts w:ascii="宋体" w:cs="宋体" w:eastAsia="宋体" w:hAnsi="宋体"/>
          <w:sz w:val="28"/>
          <w:szCs w:val="28"/>
          <w:b w:val="1"/>
          <w:bCs w:val="1"/>
          <w:color w:val="auto"/>
        </w:rPr>
        <w:t>条 生效和终止</w:t>
      </w:r>
    </w:p>
    <w:p>
      <w:pPr>
        <w:spacing w:after="0" w:line="200" w:lineRule="exact"/>
        <w:rPr>
          <w:sz w:val="20"/>
          <w:szCs w:val="20"/>
          <w:color w:val="auto"/>
        </w:rPr>
      </w:pPr>
    </w:p>
    <w:p>
      <w:pPr>
        <w:spacing w:after="0" w:line="250" w:lineRule="exact"/>
        <w:rPr>
          <w:sz w:val="20"/>
          <w:szCs w:val="20"/>
          <w:color w:val="auto"/>
        </w:rPr>
      </w:pPr>
    </w:p>
    <w:p>
      <w:pPr>
        <w:ind w:left="480" w:right="486" w:firstLine="562"/>
        <w:spacing w:after="0" w:line="416" w:lineRule="exact"/>
        <w:rPr>
          <w:sz w:val="20"/>
          <w:szCs w:val="20"/>
          <w:color w:val="auto"/>
        </w:rPr>
      </w:pPr>
      <w:r>
        <w:rPr>
          <w:rFonts w:ascii="宋体" w:cs="宋体" w:eastAsia="宋体" w:hAnsi="宋体"/>
          <w:sz w:val="28"/>
          <w:szCs w:val="28"/>
          <w:b w:val="1"/>
          <w:bCs w:val="1"/>
          <w:color w:val="auto"/>
        </w:rPr>
        <w:t>一、本协议应自双方签字后</w:t>
      </w:r>
      <w:r>
        <w:rPr>
          <w:rFonts w:ascii="Times New Roman" w:cs="Times New Roman" w:eastAsia="Times New Roman" w:hAnsi="Times New Roman"/>
          <w:sz w:val="28"/>
          <w:szCs w:val="28"/>
          <w:b w:val="1"/>
          <w:bCs w:val="1"/>
          <w:color w:val="auto"/>
        </w:rPr>
        <w:t>30</w:t>
      </w:r>
      <w:r>
        <w:rPr>
          <w:rFonts w:ascii="宋体" w:cs="宋体" w:eastAsia="宋体" w:hAnsi="宋体"/>
          <w:sz w:val="28"/>
          <w:szCs w:val="28"/>
          <w:b w:val="1"/>
          <w:bCs w:val="1"/>
          <w:color w:val="auto"/>
        </w:rPr>
        <w:t>日内或双方相互书面通知已完成各自国内适用程序之日起生效，二者以孰早为准。</w:t>
      </w:r>
    </w:p>
    <w:p>
      <w:pPr>
        <w:spacing w:after="0" w:line="200" w:lineRule="exact"/>
        <w:rPr>
          <w:sz w:val="20"/>
          <w:szCs w:val="20"/>
          <w:color w:val="auto"/>
        </w:rPr>
      </w:pPr>
    </w:p>
    <w:p>
      <w:pPr>
        <w:spacing w:after="0" w:line="241" w:lineRule="exact"/>
        <w:rPr>
          <w:sz w:val="20"/>
          <w:szCs w:val="20"/>
          <w:color w:val="auto"/>
        </w:rPr>
      </w:pPr>
    </w:p>
    <w:p>
      <w:pPr>
        <w:ind w:left="1040"/>
        <w:spacing w:after="0" w:line="320" w:lineRule="exact"/>
        <w:rPr>
          <w:sz w:val="20"/>
          <w:szCs w:val="20"/>
          <w:color w:val="auto"/>
        </w:rPr>
      </w:pPr>
      <w:r>
        <w:rPr>
          <w:rFonts w:ascii="宋体" w:cs="宋体" w:eastAsia="宋体" w:hAnsi="宋体"/>
          <w:sz w:val="28"/>
          <w:szCs w:val="28"/>
          <w:b w:val="1"/>
          <w:bCs w:val="1"/>
          <w:color w:val="auto"/>
        </w:rPr>
        <w:t>二、任何一方可通过向另一方提供书面终止通知终止本协议。</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该终止应自一方向另一方提供书面通知之日后</w:t>
      </w:r>
      <w:r>
        <w:rPr>
          <w:rFonts w:ascii="Times New Roman" w:cs="Times New Roman" w:eastAsia="Times New Roman" w:hAnsi="Times New Roman"/>
          <w:sz w:val="28"/>
          <w:szCs w:val="28"/>
          <w:b w:val="1"/>
          <w:bCs w:val="1"/>
          <w:color w:val="auto"/>
        </w:rPr>
        <w:t xml:space="preserve"> 60 </w:t>
      </w:r>
      <w:r>
        <w:rPr>
          <w:rFonts w:ascii="宋体" w:cs="宋体" w:eastAsia="宋体" w:hAnsi="宋体"/>
          <w:sz w:val="28"/>
          <w:szCs w:val="28"/>
          <w:b w:val="1"/>
          <w:bCs w:val="1"/>
          <w:color w:val="auto"/>
        </w:rPr>
        <w:t>日起生效，或双</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方同意的其他日期起生效。</w:t>
      </w:r>
    </w:p>
    <w:p>
      <w:pPr>
        <w:spacing w:after="0" w:line="200" w:lineRule="exact"/>
        <w:rPr>
          <w:sz w:val="20"/>
          <w:szCs w:val="20"/>
          <w:color w:val="auto"/>
        </w:rPr>
      </w:pPr>
    </w:p>
    <w:p>
      <w:pPr>
        <w:spacing w:after="0" w:line="277" w:lineRule="exact"/>
        <w:rPr>
          <w:sz w:val="20"/>
          <w:szCs w:val="20"/>
          <w:color w:val="auto"/>
        </w:rPr>
      </w:pPr>
    </w:p>
    <w:p>
      <w:pPr>
        <w:jc w:val="right"/>
        <w:ind w:left="1040" w:right="3206" w:firstLine="2172"/>
        <w:spacing w:after="0" w:line="524" w:lineRule="exact"/>
        <w:tabs>
          <w:tab w:leader="none" w:pos="3556" w:val="left"/>
        </w:tabs>
        <w:numPr>
          <w:ilvl w:val="1"/>
          <w:numId w:val="23"/>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8.4 </w:t>
      </w:r>
      <w:r>
        <w:rPr>
          <w:rFonts w:ascii="宋体" w:cs="宋体" w:eastAsia="宋体" w:hAnsi="宋体"/>
          <w:sz w:val="28"/>
          <w:szCs w:val="28"/>
          <w:b w:val="1"/>
          <w:bCs w:val="1"/>
          <w:color w:val="auto"/>
        </w:rPr>
        <w:t>条 进一步谈判双方将就进一步谈判的时间达成一致。</w:t>
      </w:r>
    </w:p>
    <w:p>
      <w:pPr>
        <w:spacing w:after="0" w:line="200" w:lineRule="exact"/>
        <w:rPr>
          <w:rFonts w:ascii="宋体" w:cs="宋体" w:eastAsia="宋体" w:hAnsi="宋体"/>
          <w:sz w:val="28"/>
          <w:szCs w:val="28"/>
          <w:b w:val="1"/>
          <w:bCs w:val="1"/>
          <w:color w:val="auto"/>
        </w:rPr>
      </w:pPr>
    </w:p>
    <w:p>
      <w:pPr>
        <w:spacing w:after="0" w:line="242" w:lineRule="exact"/>
        <w:rPr>
          <w:rFonts w:ascii="宋体" w:cs="宋体" w:eastAsia="宋体" w:hAnsi="宋体"/>
          <w:sz w:val="28"/>
          <w:szCs w:val="28"/>
          <w:b w:val="1"/>
          <w:bCs w:val="1"/>
          <w:color w:val="auto"/>
        </w:rPr>
      </w:pPr>
    </w:p>
    <w:p>
      <w:pPr>
        <w:ind w:left="2020" w:hanging="354"/>
        <w:spacing w:after="0" w:line="341" w:lineRule="exact"/>
        <w:tabs>
          <w:tab w:leader="none" w:pos="2020" w:val="left"/>
        </w:tabs>
        <w:numPr>
          <w:ilvl w:val="0"/>
          <w:numId w:val="23"/>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8.5 </w:t>
      </w:r>
      <w:r>
        <w:rPr>
          <w:rFonts w:ascii="宋体" w:cs="宋体" w:eastAsia="宋体" w:hAnsi="宋体"/>
          <w:sz w:val="28"/>
          <w:szCs w:val="28"/>
          <w:b w:val="1"/>
          <w:bCs w:val="1"/>
          <w:color w:val="auto"/>
        </w:rPr>
        <w:t>条 关于实施措施的通知和公开征求意见</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jc w:val="center"/>
        <w:ind w:right="6"/>
        <w:spacing w:after="0"/>
        <w:rPr>
          <w:sz w:val="20"/>
          <w:szCs w:val="20"/>
          <w:color w:val="auto"/>
        </w:rPr>
      </w:pPr>
      <w:r>
        <w:rPr>
          <w:rFonts w:ascii="Times New Roman" w:cs="Times New Roman" w:eastAsia="Times New Roman" w:hAnsi="Times New Roman"/>
          <w:sz w:val="24"/>
          <w:szCs w:val="24"/>
          <w:color w:val="auto"/>
        </w:rPr>
        <w:t>8-1</w:t>
      </w:r>
    </w:p>
    <w:p>
      <w:pPr>
        <w:sectPr>
          <w:pgSz w:w="11900" w:h="16838" w:orient="portrait"/>
          <w:cols w:equalWidth="0" w:num="1">
            <w:col w:w="9026"/>
          </w:cols>
          <w:pgMar w:left="1440" w:top="1440" w:right="1440" w:bottom="644" w:gutter="0" w:footer="0" w:header="0"/>
        </w:sectPr>
      </w:pPr>
    </w:p>
    <w:bookmarkStart w:id="87" w:name="page88"/>
    <w:bookmarkEnd w:id="87"/>
    <w:p>
      <w:pPr>
        <w:spacing w:after="0" w:line="200" w:lineRule="exact"/>
        <w:rPr>
          <w:sz w:val="20"/>
          <w:szCs w:val="20"/>
          <w:color w:val="auto"/>
        </w:rPr>
      </w:pPr>
    </w:p>
    <w:p>
      <w:pPr>
        <w:spacing w:after="0" w:line="200" w:lineRule="exact"/>
        <w:rPr>
          <w:sz w:val="20"/>
          <w:szCs w:val="20"/>
          <w:color w:val="auto"/>
        </w:rPr>
      </w:pPr>
    </w:p>
    <w:p>
      <w:pPr>
        <w:spacing w:after="0" w:line="324" w:lineRule="exact"/>
        <w:rPr>
          <w:sz w:val="20"/>
          <w:szCs w:val="20"/>
          <w:color w:val="auto"/>
        </w:rPr>
      </w:pPr>
    </w:p>
    <w:p>
      <w:pPr>
        <w:ind w:left="1040"/>
        <w:spacing w:after="0" w:line="308" w:lineRule="exact"/>
        <w:rPr>
          <w:sz w:val="20"/>
          <w:szCs w:val="20"/>
          <w:color w:val="auto"/>
        </w:rPr>
      </w:pPr>
      <w:r>
        <w:rPr>
          <w:rFonts w:ascii="宋体" w:cs="宋体" w:eastAsia="宋体" w:hAnsi="宋体"/>
          <w:sz w:val="27"/>
          <w:szCs w:val="27"/>
          <w:b w:val="1"/>
          <w:bCs w:val="1"/>
          <w:color w:val="auto"/>
        </w:rPr>
        <w:t>除非本协议另有规定，每一方应为实施本协议拟采取的所有建</w:t>
      </w:r>
    </w:p>
    <w:p>
      <w:pPr>
        <w:spacing w:after="0" w:line="226" w:lineRule="exact"/>
        <w:rPr>
          <w:sz w:val="20"/>
          <w:szCs w:val="20"/>
          <w:color w:val="auto"/>
        </w:rPr>
      </w:pPr>
    </w:p>
    <w:p>
      <w:pPr>
        <w:ind w:left="480"/>
        <w:spacing w:after="0" w:line="341" w:lineRule="exact"/>
        <w:rPr>
          <w:sz w:val="20"/>
          <w:szCs w:val="20"/>
          <w:color w:val="auto"/>
        </w:rPr>
      </w:pPr>
      <w:r>
        <w:rPr>
          <w:rFonts w:ascii="宋体" w:cs="宋体" w:eastAsia="宋体" w:hAnsi="宋体"/>
          <w:sz w:val="28"/>
          <w:szCs w:val="28"/>
          <w:b w:val="1"/>
          <w:bCs w:val="1"/>
          <w:color w:val="auto"/>
        </w:rPr>
        <w:t>议措施提供不少于</w:t>
      </w:r>
      <w:r>
        <w:rPr>
          <w:rFonts w:ascii="Times New Roman" w:cs="Times New Roman" w:eastAsia="Times New Roman" w:hAnsi="Times New Roman"/>
          <w:sz w:val="28"/>
          <w:szCs w:val="28"/>
          <w:b w:val="1"/>
          <w:bCs w:val="1"/>
          <w:color w:val="auto"/>
        </w:rPr>
        <w:t xml:space="preserve"> 45 </w:t>
      </w:r>
      <w:r>
        <w:rPr>
          <w:rFonts w:ascii="宋体" w:cs="宋体" w:eastAsia="宋体" w:hAnsi="宋体"/>
          <w:sz w:val="28"/>
          <w:szCs w:val="28"/>
          <w:b w:val="1"/>
          <w:bCs w:val="1"/>
          <w:color w:val="auto"/>
        </w:rPr>
        <w:t>天的公众评论期。每一方为实施本协议所采</w:t>
      </w:r>
    </w:p>
    <w:p>
      <w:pPr>
        <w:spacing w:after="0" w:line="206" w:lineRule="exact"/>
        <w:rPr>
          <w:sz w:val="20"/>
          <w:szCs w:val="20"/>
          <w:color w:val="auto"/>
        </w:rPr>
      </w:pPr>
    </w:p>
    <w:p>
      <w:pPr>
        <w:ind w:left="480"/>
        <w:spacing w:after="0" w:line="320" w:lineRule="exact"/>
        <w:rPr>
          <w:sz w:val="20"/>
          <w:szCs w:val="20"/>
          <w:color w:val="auto"/>
        </w:rPr>
      </w:pPr>
      <w:r>
        <w:rPr>
          <w:rFonts w:ascii="宋体" w:cs="宋体" w:eastAsia="宋体" w:hAnsi="宋体"/>
          <w:sz w:val="28"/>
          <w:szCs w:val="28"/>
          <w:b w:val="1"/>
          <w:bCs w:val="1"/>
          <w:color w:val="auto"/>
        </w:rPr>
        <w:t>取的最终措施或对现有措施的修订，应考虑另一方提出的关切。</w:t>
      </w:r>
    </w:p>
    <w:p>
      <w:pPr>
        <w:spacing w:after="0" w:line="200" w:lineRule="exact"/>
        <w:rPr>
          <w:sz w:val="20"/>
          <w:szCs w:val="20"/>
          <w:color w:val="auto"/>
        </w:rPr>
      </w:pPr>
    </w:p>
    <w:p>
      <w:pPr>
        <w:spacing w:after="0" w:line="242" w:lineRule="exact"/>
        <w:rPr>
          <w:sz w:val="20"/>
          <w:szCs w:val="20"/>
          <w:color w:val="auto"/>
        </w:rPr>
      </w:pPr>
    </w:p>
    <w:p>
      <w:pPr>
        <w:ind w:left="3700" w:hanging="346"/>
        <w:spacing w:after="0" w:line="341" w:lineRule="exact"/>
        <w:tabs>
          <w:tab w:leader="none" w:pos="3700" w:val="left"/>
        </w:tabs>
        <w:numPr>
          <w:ilvl w:val="0"/>
          <w:numId w:val="24"/>
        </w:numPr>
        <w:rPr>
          <w:rFonts w:ascii="宋体" w:cs="宋体" w:eastAsia="宋体" w:hAnsi="宋体"/>
          <w:sz w:val="28"/>
          <w:szCs w:val="28"/>
          <w:b w:val="1"/>
          <w:bCs w:val="1"/>
          <w:color w:val="auto"/>
        </w:rPr>
      </w:pPr>
      <w:r>
        <w:rPr>
          <w:rFonts w:ascii="Times New Roman" w:cs="Times New Roman" w:eastAsia="Times New Roman" w:hAnsi="Times New Roman"/>
          <w:sz w:val="28"/>
          <w:szCs w:val="28"/>
          <w:b w:val="1"/>
          <w:bCs w:val="1"/>
          <w:color w:val="auto"/>
        </w:rPr>
        <w:t xml:space="preserve">8.6 </w:t>
      </w:r>
      <w:r>
        <w:rPr>
          <w:rFonts w:ascii="宋体" w:cs="宋体" w:eastAsia="宋体" w:hAnsi="宋体"/>
          <w:sz w:val="28"/>
          <w:szCs w:val="28"/>
          <w:b w:val="1"/>
          <w:bCs w:val="1"/>
          <w:color w:val="auto"/>
        </w:rPr>
        <w:t>条 作准文本</w:t>
      </w:r>
    </w:p>
    <w:p>
      <w:pPr>
        <w:spacing w:after="0" w:line="200" w:lineRule="exact"/>
        <w:rPr>
          <w:rFonts w:ascii="宋体" w:cs="宋体" w:eastAsia="宋体" w:hAnsi="宋体"/>
          <w:sz w:val="28"/>
          <w:szCs w:val="28"/>
          <w:b w:val="1"/>
          <w:bCs w:val="1"/>
          <w:color w:val="auto"/>
        </w:rPr>
      </w:pPr>
    </w:p>
    <w:p>
      <w:pPr>
        <w:spacing w:after="0" w:line="263" w:lineRule="exact"/>
        <w:rPr>
          <w:rFonts w:ascii="宋体" w:cs="宋体" w:eastAsia="宋体" w:hAnsi="宋体"/>
          <w:sz w:val="28"/>
          <w:szCs w:val="28"/>
          <w:b w:val="1"/>
          <w:bCs w:val="1"/>
          <w:color w:val="auto"/>
        </w:rPr>
      </w:pPr>
    </w:p>
    <w:p>
      <w:pPr>
        <w:ind w:left="1040" w:right="1786"/>
        <w:spacing w:after="0" w:line="519" w:lineRule="exact"/>
        <w:rPr>
          <w:rFonts w:ascii="宋体" w:cs="宋体" w:eastAsia="宋体" w:hAnsi="宋体"/>
          <w:sz w:val="28"/>
          <w:szCs w:val="28"/>
          <w:b w:val="1"/>
          <w:bCs w:val="1"/>
          <w:color w:val="auto"/>
        </w:rPr>
      </w:pPr>
      <w:r>
        <w:rPr>
          <w:rFonts w:ascii="宋体" w:cs="宋体" w:eastAsia="宋体" w:hAnsi="宋体"/>
          <w:sz w:val="28"/>
          <w:szCs w:val="28"/>
          <w:b w:val="1"/>
          <w:bCs w:val="1"/>
          <w:color w:val="auto"/>
        </w:rPr>
        <w:t>本协议以中文和英文写成，两种文本同等作准。下列代表经各自政府授权签署本协议，以昭信守。</w:t>
      </w:r>
    </w:p>
    <w:p>
      <w:pPr>
        <w:spacing w:after="0" w:line="200" w:lineRule="exact"/>
        <w:rPr>
          <w:sz w:val="20"/>
          <w:szCs w:val="20"/>
          <w:color w:val="auto"/>
        </w:rPr>
      </w:pPr>
    </w:p>
    <w:p>
      <w:pPr>
        <w:spacing w:after="0" w:line="282" w:lineRule="exact"/>
        <w:rPr>
          <w:sz w:val="20"/>
          <w:szCs w:val="20"/>
          <w:color w:val="auto"/>
        </w:rPr>
      </w:pPr>
    </w:p>
    <w:p>
      <w:pPr>
        <w:ind w:left="480" w:right="486" w:firstLine="562"/>
        <w:spacing w:after="0" w:line="412" w:lineRule="exact"/>
        <w:rPr>
          <w:sz w:val="20"/>
          <w:szCs w:val="20"/>
          <w:color w:val="auto"/>
        </w:rPr>
      </w:pPr>
      <w:r>
        <w:rPr>
          <w:rFonts w:ascii="宋体" w:cs="宋体" w:eastAsia="宋体" w:hAnsi="宋体"/>
          <w:sz w:val="28"/>
          <w:szCs w:val="28"/>
          <w:b w:val="1"/>
          <w:bCs w:val="1"/>
          <w:color w:val="auto"/>
        </w:rPr>
        <w:t>本协议一式两份，于二〇二〇年一月十五日在华盛顿哥伦比亚特区签署。</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0" w:lineRule="exact"/>
        <w:rPr>
          <w:sz w:val="20"/>
          <w:szCs w:val="20"/>
          <w:color w:val="auto"/>
        </w:rPr>
      </w:pPr>
    </w:p>
    <w:p>
      <w:pPr>
        <w:ind w:left="1040"/>
        <w:spacing w:after="0" w:line="320" w:lineRule="exact"/>
        <w:tabs>
          <w:tab w:leader="none" w:pos="5660" w:val="left"/>
        </w:tabs>
        <w:rPr>
          <w:sz w:val="20"/>
          <w:szCs w:val="20"/>
          <w:color w:val="auto"/>
        </w:rPr>
      </w:pPr>
      <w:r>
        <w:rPr>
          <w:rFonts w:ascii="宋体" w:cs="宋体" w:eastAsia="宋体" w:hAnsi="宋体"/>
          <w:sz w:val="28"/>
          <w:szCs w:val="28"/>
          <w:b w:val="1"/>
          <w:bCs w:val="1"/>
          <w:color w:val="auto"/>
        </w:rPr>
        <w:t>中华人民共和国政府</w:t>
      </w:r>
      <w:r>
        <w:rPr>
          <w:sz w:val="20"/>
          <w:szCs w:val="20"/>
          <w:color w:val="auto"/>
        </w:rPr>
        <w:tab/>
      </w:r>
      <w:r>
        <w:rPr>
          <w:rFonts w:ascii="宋体" w:cs="宋体" w:eastAsia="宋体" w:hAnsi="宋体"/>
          <w:sz w:val="28"/>
          <w:szCs w:val="28"/>
          <w:b w:val="1"/>
          <w:bCs w:val="1"/>
          <w:color w:val="auto"/>
        </w:rPr>
        <w:t>美利坚合众国政府</w:t>
      </w:r>
    </w:p>
    <w:p>
      <w:pPr>
        <w:spacing w:after="0" w:line="276" w:lineRule="exact"/>
        <w:rPr>
          <w:sz w:val="20"/>
          <w:szCs w:val="20"/>
          <w:color w:val="auto"/>
        </w:rPr>
      </w:pPr>
    </w:p>
    <w:p>
      <w:pPr>
        <w:ind w:left="2040"/>
        <w:spacing w:after="0" w:line="320" w:lineRule="exact"/>
        <w:tabs>
          <w:tab w:leader="none" w:pos="6520" w:val="left"/>
        </w:tabs>
        <w:rPr>
          <w:sz w:val="20"/>
          <w:szCs w:val="20"/>
          <w:color w:val="auto"/>
        </w:rPr>
      </w:pPr>
      <w:r>
        <w:rPr>
          <w:rFonts w:ascii="宋体" w:cs="宋体" w:eastAsia="宋体" w:hAnsi="宋体"/>
          <w:sz w:val="28"/>
          <w:szCs w:val="28"/>
          <w:b w:val="1"/>
          <w:bCs w:val="1"/>
          <w:color w:val="auto"/>
        </w:rPr>
        <w:t>代表</w:t>
      </w:r>
      <w:r>
        <w:rPr>
          <w:sz w:val="20"/>
          <w:szCs w:val="20"/>
          <w:color w:val="auto"/>
        </w:rPr>
        <w:tab/>
      </w:r>
      <w:r>
        <w:rPr>
          <w:rFonts w:ascii="宋体" w:cs="宋体" w:eastAsia="宋体" w:hAnsi="宋体"/>
          <w:sz w:val="28"/>
          <w:szCs w:val="28"/>
          <w:b w:val="1"/>
          <w:bCs w:val="1"/>
          <w:color w:val="auto"/>
        </w:rPr>
        <w:t>代表</w:t>
      </w:r>
    </w:p>
    <w:p>
      <w:pPr>
        <w:sectPr>
          <w:pgSz w:w="11900" w:h="16838" w:orient="portrait"/>
          <w:cols w:equalWidth="0" w:num="1">
            <w:col w:w="9026"/>
          </w:cols>
          <w:pgMar w:left="1440" w:top="1440" w:right="1440" w:bottom="43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7" w:lineRule="exact"/>
        <w:rPr>
          <w:sz w:val="20"/>
          <w:szCs w:val="20"/>
          <w:color w:val="auto"/>
        </w:rPr>
      </w:pPr>
    </w:p>
    <w:p>
      <w:pPr>
        <w:jc w:val="center"/>
        <w:ind w:right="-13"/>
        <w:spacing w:after="0"/>
        <w:rPr>
          <w:sz w:val="20"/>
          <w:szCs w:val="20"/>
          <w:color w:val="auto"/>
        </w:rPr>
      </w:pPr>
      <w:r>
        <w:rPr>
          <w:rFonts w:ascii="Times New Roman" w:cs="Times New Roman" w:eastAsia="Times New Roman" w:hAnsi="Times New Roman"/>
          <w:sz w:val="23"/>
          <w:szCs w:val="23"/>
          <w:color w:val="auto"/>
        </w:rPr>
        <w:t>8-2</w:t>
      </w:r>
    </w:p>
    <w:sectPr>
      <w:pgSz w:w="11900" w:h="16838" w:orient="portrait"/>
      <w:cols w:equalWidth="0" w:num="1">
        <w:col w:w="9026"/>
      </w:cols>
      <w:pgMar w:left="1440" w:top="1440" w:right="1440" w:bottom="435"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swiss"/>
    <w:pitch w:val="variable"/>
    <w:sig w:usb0="E0002EFF" w:usb1="C0007843" w:usb2="00000009" w:usb3="00000000" w:csb0="400001FF" w:csb1="FFFF0000"/>
  </w:font>
  <w:font w:name="黑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1547"/>
    <w:multiLevelType w:val="hybridMultilevel"/>
    <w:lvl w:ilvl="0">
      <w:lvlJc w:val="left"/>
      <w:lvlText w:val="%1"/>
      <w:numFmt w:val="decimal"/>
      <w:start w:val="1"/>
    </w:lvl>
  </w:abstractNum>
  <w:abstractNum w:abstractNumId="1">
    <w:nsid w:val="54DE"/>
    <w:multiLevelType w:val="hybridMultilevel"/>
    <w:lvl w:ilvl="0">
      <w:lvlJc w:val="left"/>
      <w:lvlText w:val="%1"/>
      <w:numFmt w:val="decimal"/>
      <w:start w:val="2"/>
    </w:lvl>
  </w:abstractNum>
  <w:abstractNum w:abstractNumId="2">
    <w:nsid w:val="39B3"/>
    <w:multiLevelType w:val="hybridMultilevel"/>
    <w:lvl w:ilvl="0">
      <w:lvlJc w:val="left"/>
      <w:lvlText w:val="第"/>
      <w:numFmt w:val="bullet"/>
      <w:start w:val="1"/>
    </w:lvl>
  </w:abstractNum>
  <w:abstractNum w:abstractNumId="3">
    <w:nsid w:val="2D12"/>
    <w:multiLevelType w:val="hybridMultilevel"/>
    <w:lvl w:ilvl="0">
      <w:lvlJc w:val="left"/>
      <w:lvlText w:val="第"/>
      <w:numFmt w:val="bullet"/>
      <w:start w:val="1"/>
    </w:lvl>
  </w:abstractNum>
  <w:abstractNum w:abstractNumId="4">
    <w:nsid w:val="74D"/>
    <w:multiLevelType w:val="hybridMultilevel"/>
    <w:lvl w:ilvl="0">
      <w:lvlJc w:val="left"/>
      <w:lvlText w:val="第"/>
      <w:numFmt w:val="bullet"/>
      <w:start w:val="1"/>
    </w:lvl>
  </w:abstractNum>
  <w:abstractNum w:abstractNumId="5">
    <w:nsid w:val="4DC8"/>
    <w:multiLevelType w:val="hybridMultilevel"/>
    <w:lvl w:ilvl="0">
      <w:lvlJc w:val="left"/>
      <w:lvlText w:val="第"/>
      <w:numFmt w:val="bullet"/>
      <w:start w:val="1"/>
    </w:lvl>
  </w:abstractNum>
  <w:abstractNum w:abstractNumId="6">
    <w:nsid w:val="6443"/>
    <w:multiLevelType w:val="hybridMultilevel"/>
    <w:lvl w:ilvl="0">
      <w:lvlJc w:val="left"/>
      <w:lvlText w:val="第"/>
      <w:numFmt w:val="bullet"/>
      <w:start w:val="1"/>
    </w:lvl>
  </w:abstractNum>
  <w:abstractNum w:abstractNumId="7">
    <w:nsid w:val="66BB"/>
    <w:multiLevelType w:val="hybridMultilevel"/>
    <w:lvl w:ilvl="0">
      <w:lvlJc w:val="left"/>
      <w:lvlText w:val="%1"/>
      <w:numFmt w:val="decimal"/>
      <w:start w:val="1"/>
    </w:lvl>
  </w:abstractNum>
  <w:abstractNum w:abstractNumId="8">
    <w:nsid w:val="428B"/>
    <w:multiLevelType w:val="hybridMultilevel"/>
    <w:lvl w:ilvl="0">
      <w:lvlJc w:val="left"/>
      <w:lvlText w:val="%1"/>
      <w:numFmt w:val="decimal"/>
      <w:start w:val="30"/>
    </w:lvl>
  </w:abstractNum>
  <w:abstractNum w:abstractNumId="9">
    <w:nsid w:val="26A6"/>
    <w:multiLevelType w:val="hybridMultilevel"/>
    <w:lvl w:ilvl="0">
      <w:lvlJc w:val="left"/>
      <w:lvlText w:val="月"/>
      <w:numFmt w:val="bullet"/>
      <w:start w:val="1"/>
    </w:lvl>
  </w:abstractNum>
  <w:abstractNum w:abstractNumId="10">
    <w:nsid w:val="701F"/>
    <w:multiLevelType w:val="hybridMultilevel"/>
    <w:lvl w:ilvl="0">
      <w:lvlJc w:val="left"/>
      <w:lvlText w:val="列"/>
      <w:numFmt w:val="bullet"/>
      <w:start w:val="1"/>
    </w:lvl>
  </w:abstractNum>
  <w:abstractNum w:abstractNumId="11">
    <w:nsid w:val="5D03"/>
    <w:multiLevelType w:val="hybridMultilevel"/>
    <w:lvl w:ilvl="0">
      <w:lvlJc w:val="left"/>
      <w:lvlText w:val="%1"/>
      <w:numFmt w:val="decimal"/>
      <w:start w:val="15"/>
    </w:lvl>
  </w:abstractNum>
  <w:abstractNum w:abstractNumId="12">
    <w:nsid w:val="7A5A"/>
    <w:multiLevelType w:val="hybridMultilevel"/>
    <w:lvl w:ilvl="0">
      <w:lvlJc w:val="left"/>
      <w:lvlText w:val="%1"/>
      <w:numFmt w:val="decimal"/>
      <w:start w:val="1"/>
    </w:lvl>
  </w:abstractNum>
  <w:abstractNum w:abstractNumId="13">
    <w:nsid w:val="767D"/>
    <w:multiLevelType w:val="hybridMultilevel"/>
    <w:lvl w:ilvl="0">
      <w:lvlJc w:val="left"/>
      <w:lvlText w:val="列"/>
      <w:numFmt w:val="bullet"/>
      <w:start w:val="1"/>
    </w:lvl>
  </w:abstractNum>
  <w:abstractNum w:abstractNumId="14">
    <w:nsid w:val="4509"/>
    <w:multiLevelType w:val="hybridMultilevel"/>
    <w:lvl w:ilvl="0">
      <w:lvlJc w:val="left"/>
      <w:lvlText w:val="%1"/>
      <w:numFmt w:val="decimal"/>
      <w:start w:val="1"/>
    </w:lvl>
  </w:abstractNum>
  <w:abstractNum w:abstractNumId="15">
    <w:nsid w:val="1238"/>
    <w:multiLevelType w:val="hybridMultilevel"/>
    <w:lvl w:ilvl="0">
      <w:lvlJc w:val="left"/>
      <w:lvlText w:val="%1"/>
      <w:numFmt w:val="decimal"/>
      <w:start w:val="9"/>
    </w:lvl>
  </w:abstractNum>
  <w:abstractNum w:abstractNumId="16">
    <w:nsid w:val="3B25"/>
    <w:multiLevelType w:val="hybridMultilevel"/>
    <w:lvl w:ilvl="0">
      <w:lvlJc w:val="left"/>
      <w:lvlText w:val="%1"/>
      <w:numFmt w:val="decimal"/>
      <w:start w:val="15"/>
    </w:lvl>
  </w:abstractNum>
  <w:abstractNum w:abstractNumId="17">
    <w:nsid w:val="1E1F"/>
    <w:multiLevelType w:val="hybridMultilevel"/>
    <w:lvl w:ilvl="0">
      <w:lvlJc w:val="left"/>
      <w:lvlText w:val="%1"/>
      <w:numFmt w:val="decimal"/>
      <w:start w:val="1"/>
    </w:lvl>
  </w:abstractNum>
  <w:abstractNum w:abstractNumId="18">
    <w:nsid w:val="6E5D"/>
    <w:multiLevelType w:val="hybridMultilevel"/>
    <w:lvl w:ilvl="0">
      <w:lvlJc w:val="left"/>
      <w:lvlText w:val="%1"/>
      <w:numFmt w:val="decimal"/>
      <w:start w:val="5"/>
    </w:lvl>
  </w:abstractNum>
  <w:abstractNum w:abstractNumId="19">
    <w:nsid w:val="1AD4"/>
    <w:multiLevelType w:val="hybridMultilevel"/>
    <w:lvl w:ilvl="0">
      <w:lvlJc w:val="left"/>
      <w:lvlText w:val="第"/>
      <w:numFmt w:val="bullet"/>
      <w:start w:val="1"/>
    </w:lvl>
  </w:abstractNum>
  <w:abstractNum w:abstractNumId="20">
    <w:nsid w:val="63CB"/>
    <w:multiLevelType w:val="hybridMultilevel"/>
    <w:lvl w:ilvl="0">
      <w:lvlJc w:val="left"/>
      <w:lvlText w:val="第"/>
      <w:numFmt w:val="bullet"/>
      <w:start w:val="1"/>
    </w:lvl>
  </w:abstractNum>
  <w:abstractNum w:abstractNumId="21">
    <w:nsid w:val="6BFC"/>
    <w:multiLevelType w:val="hybridMultilevel"/>
    <w:lvl w:ilvl="0">
      <w:lvlJc w:val="left"/>
      <w:lvlText w:val="第"/>
      <w:numFmt w:val="bullet"/>
      <w:start w:val="1"/>
    </w:lvl>
  </w:abstractNum>
  <w:abstractNum w:abstractNumId="22">
    <w:nsid w:val="7F96"/>
    <w:multiLevelType w:val="hybridMultilevel"/>
    <w:lvl w:ilvl="0">
      <w:lvlJc w:val="left"/>
      <w:lvlText w:val="第"/>
      <w:numFmt w:val="bullet"/>
      <w:start w:val="1"/>
    </w:lvl>
    <w:lvl w:ilvl="1">
      <w:lvlJc w:val="left"/>
      <w:lvlText w:val="第"/>
      <w:numFmt w:val="bullet"/>
      <w:start w:val="1"/>
    </w:lvl>
  </w:abstractNum>
  <w:abstractNum w:abstractNumId="23">
    <w:nsid w:val="7FF5"/>
    <w:multiLevelType w:val="hybridMultilevel"/>
    <w:lvl w:ilvl="0">
      <w:lvlJc w:val="left"/>
      <w:lvlText w:val="第"/>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2020-01-16T10:43:17Z</dcterms:created>
  <dcterms:modified xsi:type="dcterms:W3CDTF">2020-01-16T10:43:17Z</dcterms:modified>
</cp:coreProperties>
</file>