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D" w:rsidRDefault="00470D2A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01282D" w:rsidRDefault="00470D2A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519"/>
        <w:gridCol w:w="2611"/>
        <w:gridCol w:w="926"/>
        <w:gridCol w:w="964"/>
        <w:gridCol w:w="1195"/>
      </w:tblGrid>
      <w:tr w:rsidR="0001282D">
        <w:trPr>
          <w:trHeight w:val="64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湖南长城银河科技有限公司</w:t>
            </w:r>
          </w:p>
        </w:tc>
      </w:tr>
      <w:tr w:rsidR="0001282D">
        <w:trPr>
          <w:trHeight w:val="7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：夏凯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：人力资源负责人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 w:rsidP="00D852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:rsidR="00D85205" w:rsidRDefault="00D85205" w:rsidP="00D8520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hyperlink r:id="rId8" w:history="1">
              <w:r w:rsidRPr="00D55591">
                <w:rPr>
                  <w:rStyle w:val="a6"/>
                  <w:rFonts w:asciiTheme="minorEastAsia" w:hAnsiTheme="minorEastAsia" w:cstheme="minorEastAsia" w:hint="eastAsia"/>
                  <w:kern w:val="0"/>
                  <w:szCs w:val="21"/>
                  <w:lang w:bidi="ar"/>
                </w:rPr>
                <w:t>xiakai@hngwg.com</w:t>
              </w:r>
            </w:hyperlink>
          </w:p>
          <w:p w:rsidR="00D85205" w:rsidRDefault="00D85205" w:rsidP="00D8520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座机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0731-85582218</w:t>
            </w:r>
            <w:bookmarkStart w:id="0" w:name="_GoBack"/>
            <w:bookmarkEnd w:id="0"/>
          </w:p>
        </w:tc>
      </w:tr>
      <w:tr w:rsidR="0001282D">
        <w:trPr>
          <w:trHeight w:val="6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01282D">
        <w:trPr>
          <w:trHeight w:val="201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数字电路设计工程师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、参与项目的具体开发设计以及各方面协调；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、参与各层级的设计模拟，完善设计；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、与验证人员的交互，修改设计缺陷；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、与后端设计人员进行交互，完成时序约束文件的制定以及完成后端仿真等；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、与测试人员配合完成芯片成片的测试工作；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、撰写项目的工程文档。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、本科及以上学历，计算机、集成电路相关专业；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、熟悉硬件描述语言（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Verilog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）以及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工具软件的使用；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、熟悉计算机硬件、计算机体系结构；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VLSI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设计流程；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Perl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Tcl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等脚本语言基本应用。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12-35W</w:t>
            </w:r>
          </w:p>
        </w:tc>
      </w:tr>
      <w:tr w:rsidR="0001282D">
        <w:trPr>
          <w:trHeight w:val="133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数字电路验证工程师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、参与目标芯片的需求分析；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、参与功能模块验证大纲编写；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、参与项目中的部件逻辑验证；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、参与设计模拟与仿真，协助完善设计；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、与其他验证人员交互，完善功能点，提高覆盖率；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、参与项目验证过程中各阶段的评审；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、利用后端提供时序参数，实施逻辑后端仿真，确保达到项目设计指标要求；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、参与编写、生成测试激励，以用于芯片测试；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、配合嵌入式人员一起参与完成芯片测试；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、编制、归档完整的模块验证文档、激励代码等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、本科及以上学历，计算机、集成电路相关专业；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、熟悉硬件描述语言（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Verilog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）以及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EDA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工具软件的使用；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、熟悉计算机硬件、计算机体系结构；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、熟悉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VLSI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设计及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IC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设计流程；</w:t>
            </w:r>
          </w:p>
          <w:p w:rsidR="0001282D" w:rsidRDefault="00470D2A">
            <w:pPr>
              <w:widowControl/>
              <w:snapToGrid w:val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、熟悉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操作系统及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Perl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Tcl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等脚本语言基本应用。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12-35W</w:t>
            </w:r>
          </w:p>
        </w:tc>
      </w:tr>
      <w:tr w:rsidR="0001282D">
        <w:trPr>
          <w:trHeight w:val="30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嵌入式软件工程师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围绕嵌入式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处理器研发配套支撑软件。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、本科及以上学历，计算机、软件相关专业；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、掌握计算机体系结构和操作系统原理；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、精通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语言和汇编语言；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、有操作系统工程经验优先；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、硕士、博士研究生优先；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java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Python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语言、典型算法的优先。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10-30W</w:t>
            </w:r>
          </w:p>
        </w:tc>
      </w:tr>
      <w:tr w:rsidR="0001282D">
        <w:trPr>
          <w:trHeight w:val="108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软件研发工程师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的驱动移植和开发。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、本科及以上学历，计算机、软件相关专业；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、熟练掌握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语言编程；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、熟练掌握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Linux shell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编程；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、熟练掌握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下各种外设的驱动开发。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10-20W</w:t>
            </w:r>
          </w:p>
        </w:tc>
      </w:tr>
      <w:tr w:rsidR="0001282D">
        <w:trPr>
          <w:trHeight w:val="133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完成项目所需的软件及接口应用程序开发、调试；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、对公司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芯片及产品，编写程序，完善测试及功能验证，并通过逻辑分析仪抓取底层波形，了解运行机理；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、对应用产品客户，提供对外技术支持，排故分析解决用户问题。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、本科及以上学历，计算机、电子信息相关专业；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CCS-IDE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环境，有基于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编程及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debug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的经验；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、了解芯片各底层接口规范波形，有一定的接口基础知识积累，并编写测试程序；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、熟练使用示波器，逻辑分析仪等辅助工具，定位工作中或客户遇到的问题；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、有较好的沟通表达能力，编写软件框架及调试文档。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8-12W</w:t>
            </w:r>
          </w:p>
        </w:tc>
      </w:tr>
      <w:tr w:rsidR="0001282D">
        <w:trPr>
          <w:trHeight w:val="133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FPGA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、开发关于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FPGA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部分的逻辑，包括控制逻辑、外围接口到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转换，高速接口数据传输等；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、对客户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DSP+FPGA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的数据流带宽，及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FPGA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数据处理能力进行评估，并给出相关芯片选型及意见。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、本科及以上学历，计算机、电子信息相关专业；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、熟练使用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Vivado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Xilinx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系列芯片使用经验；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、熟练掌握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Verilog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、有相关接口开发经验，如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AXI4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PCIE,SRIO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8-12W</w:t>
            </w:r>
          </w:p>
        </w:tc>
      </w:tr>
      <w:tr w:rsidR="0001282D">
        <w:trPr>
          <w:trHeight w:val="133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硬件工程师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、根据项目需要，进行原理图设计、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、对关键信号，用开发软件进行仿真（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DDR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PCIE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等）；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、协助进行后期调试。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、本科及以上学历，计算机、电子信息相关专业；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Cadence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软件进行原理图设计和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PCB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规则的检查及改善；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熟悉电路时序分析、信号完整性分析，能利用各种示波器对信号进行测试验证。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8-12W</w:t>
            </w:r>
          </w:p>
        </w:tc>
      </w:tr>
      <w:tr w:rsidR="0001282D">
        <w:trPr>
          <w:trHeight w:val="102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市场运营专员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、负责公司品牌、产品的推介及市场推广相关工作；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、负责挖掘和分析行业及市场活动数据，用以指导市场活动和产品改进；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、负责对销售经理和客户进行产品或技术相关知识的培训和推介；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、收集客户对产品改良和升级方面的建议，并及时反馈；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、充分理解符合质量管理体系要求的重要性，贯彻落实部门质量工作。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、本科及以上学历，计算机、电子、市场营销等相关专业；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、深刻理解市场运营及推广模式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熟练掌握常用的办公软件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(Word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PPT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Excel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、良好的运营策划能力和数据分析能力；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、逻辑分析能力强和沟通协调能力。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年薪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6-10W</w:t>
            </w:r>
          </w:p>
        </w:tc>
      </w:tr>
      <w:tr w:rsidR="0001282D">
        <w:trPr>
          <w:trHeight w:val="133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、销售经理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、负责市场开拓及新客户开发；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、负责客户关系维护及管理；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、负责商务谈判、销售合同签订；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、负责财务管理、防止呆账坏账对策、账款收回。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  <w:p w:rsidR="0001282D" w:rsidRDefault="00470D2A"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本科及以上学历，计算机、电子、市场营销等相关专业；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年以上相关工作经验；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、思路清晰、语言表达能力、交际能力强；</w:t>
            </w:r>
          </w:p>
          <w:p w:rsidR="0001282D" w:rsidRDefault="00470D2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、具有良好的心理素质以及团队合作精神，有较强的责任心、学习和创新能力。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面谈</w:t>
            </w:r>
          </w:p>
        </w:tc>
      </w:tr>
      <w:tr w:rsidR="0001282D">
        <w:trPr>
          <w:trHeight w:val="7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、七险一金：五险一金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+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补充医疗保险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+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意外伤害险；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、周末双休，享受法定节假日、带薪年休假；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、月度绩效、年终奖；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、春节、端午节、中秋节等过节福利及物资；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、生日津贴，健康体检等；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、用餐补贴、交通补贴、通讯补贴；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、高温补贴，防寒补贴；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、长沙人才新政：本科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住房补贴，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研究生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住房补贴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+3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万首次购房补贴；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、弹性工作时间（上班前后各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个小时弹性时间）；</w:t>
            </w:r>
          </w:p>
          <w:p w:rsidR="0001282D" w:rsidRDefault="00470D2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、各种丰富的文化活动：篮球、羽毛球、足球等健身运动。</w:t>
            </w:r>
          </w:p>
        </w:tc>
      </w:tr>
      <w:tr w:rsidR="0001282D">
        <w:trPr>
          <w:trHeight w:val="7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1282D" w:rsidRDefault="00470D2A">
            <w:pPr>
              <w:ind w:firstLineChars="200" w:firstLine="4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湖南长城银河科技有限公司（</w:t>
            </w:r>
            <w:r>
              <w:rPr>
                <w:rFonts w:hint="eastAsia"/>
              </w:rPr>
              <w:t>GWG</w:t>
            </w:r>
            <w:r>
              <w:rPr>
                <w:rFonts w:hint="eastAsia"/>
              </w:rPr>
              <w:t>）隶属于中国电子信息产业集团有限公司（</w:t>
            </w:r>
            <w:r>
              <w:rPr>
                <w:rFonts w:hint="eastAsia"/>
              </w:rPr>
              <w:t>CEC</w:t>
            </w:r>
            <w:r>
              <w:rPr>
                <w:rFonts w:hint="eastAsia"/>
              </w:rPr>
              <w:t>），是中国长城科技集团股份有限公司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CGT</w:t>
            </w:r>
            <w:r>
              <w:rPr>
                <w:rFonts w:hint="eastAsia"/>
              </w:rPr>
              <w:t>）旗下高新技术企业，专业从事</w:t>
            </w:r>
            <w:r>
              <w:rPr>
                <w:rFonts w:hint="eastAsia"/>
              </w:rPr>
              <w:t>自主安全</w:t>
            </w:r>
            <w:r>
              <w:rPr>
                <w:rFonts w:hint="eastAsia"/>
              </w:rPr>
              <w:t>信息系统、数字集成电路、嵌入式系统和关键行业智能系统研发、生产与销售。公司依托高校组建了国内顶尖的数字集成电路研发团队和</w:t>
            </w:r>
            <w:r>
              <w:rPr>
                <w:rFonts w:hint="eastAsia"/>
              </w:rPr>
              <w:t>自主安全</w:t>
            </w:r>
            <w:r>
              <w:rPr>
                <w:rFonts w:hint="eastAsia"/>
              </w:rPr>
              <w:t>信息系统，组建了强大的售前、售后服务团队，聚焦数字集成电路、自主安全计算机、嵌入式系统等领域开展研发、生产、销售、服务等系列业务。公司拥有“</w:t>
            </w:r>
            <w:r>
              <w:rPr>
                <w:rFonts w:hint="eastAsia"/>
                <w:b/>
                <w:bCs/>
              </w:rPr>
              <w:t>长城银河</w:t>
            </w:r>
            <w:r>
              <w:rPr>
                <w:rFonts w:hint="eastAsia"/>
              </w:rPr>
              <w:t>”和“</w:t>
            </w:r>
            <w:r>
              <w:rPr>
                <w:rFonts w:hint="eastAsia"/>
                <w:b/>
                <w:bCs/>
              </w:rPr>
              <w:t>银河飞腾</w:t>
            </w:r>
            <w:r>
              <w:rPr>
                <w:rFonts w:hint="eastAsia"/>
              </w:rPr>
              <w:t>”两大技术品牌，产品广泛应用于国家网信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产业，致力于成为集成电路和</w:t>
            </w:r>
            <w:r>
              <w:rPr>
                <w:rFonts w:hint="eastAsia"/>
              </w:rPr>
              <w:t>自主安全</w:t>
            </w:r>
            <w:r>
              <w:rPr>
                <w:rFonts w:hint="eastAsia"/>
              </w:rPr>
              <w:t>信息系统的顶尖供应商和服务商。</w:t>
            </w:r>
          </w:p>
        </w:tc>
      </w:tr>
    </w:tbl>
    <w:p w:rsidR="0001282D" w:rsidRDefault="0001282D">
      <w:pPr>
        <w:ind w:firstLine="560"/>
        <w:rPr>
          <w:rFonts w:hint="eastAsia"/>
          <w:sz w:val="28"/>
          <w:szCs w:val="28"/>
        </w:rPr>
      </w:pPr>
    </w:p>
    <w:p w:rsidR="0001282D" w:rsidRDefault="0001282D">
      <w:pPr>
        <w:rPr>
          <w:rFonts w:hint="eastAsia"/>
        </w:rPr>
      </w:pPr>
    </w:p>
    <w:sectPr w:rsidR="00012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2A" w:rsidRDefault="00470D2A" w:rsidP="00D85205">
      <w:pPr>
        <w:rPr>
          <w:rFonts w:hint="eastAsia"/>
        </w:rPr>
      </w:pPr>
      <w:r>
        <w:separator/>
      </w:r>
    </w:p>
  </w:endnote>
  <w:endnote w:type="continuationSeparator" w:id="0">
    <w:p w:rsidR="00470D2A" w:rsidRDefault="00470D2A" w:rsidP="00D852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2A" w:rsidRDefault="00470D2A" w:rsidP="00D85205">
      <w:pPr>
        <w:rPr>
          <w:rFonts w:hint="eastAsia"/>
        </w:rPr>
      </w:pPr>
      <w:r>
        <w:separator/>
      </w:r>
    </w:p>
  </w:footnote>
  <w:footnote w:type="continuationSeparator" w:id="0">
    <w:p w:rsidR="00470D2A" w:rsidRDefault="00470D2A" w:rsidP="00D852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0745"/>
    <w:multiLevelType w:val="singleLevel"/>
    <w:tmpl w:val="2DB507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F25DC"/>
    <w:rsid w:val="0001282D"/>
    <w:rsid w:val="00470D2A"/>
    <w:rsid w:val="00D85205"/>
    <w:rsid w:val="141D3EDC"/>
    <w:rsid w:val="213F25DC"/>
    <w:rsid w:val="4E6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773324-5D48-4A92-AA83-E1EE70D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</w:style>
  <w:style w:type="paragraph" w:styleId="a4">
    <w:name w:val="header"/>
    <w:basedOn w:val="a"/>
    <w:link w:val="Char"/>
    <w:rsid w:val="00D85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52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85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520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D8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kai@hngw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>微软中国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Answer</dc:creator>
  <cp:lastModifiedBy>Administrator</cp:lastModifiedBy>
  <cp:revision>2</cp:revision>
  <dcterms:created xsi:type="dcterms:W3CDTF">2021-02-03T02:19:00Z</dcterms:created>
  <dcterms:modified xsi:type="dcterms:W3CDTF">2021-02-03T02:19:00Z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